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1"/>
        </w:numPr>
        <w:rPr>
          <w:rFonts w:ascii="仿宋" w:hAnsi="仿宋" w:eastAsia="仿宋" w:cs="仿宋"/>
          <w:szCs w:val="32"/>
        </w:rPr>
      </w:pPr>
      <w:bookmarkStart w:id="0" w:name="_Toc526246862"/>
      <w:bookmarkStart w:id="1" w:name="_Toc526861349"/>
      <w:bookmarkStart w:id="2" w:name="_Toc526778066"/>
      <w:bookmarkStart w:id="3" w:name="_Toc25416"/>
      <w:r>
        <w:rPr>
          <w:rFonts w:hint="eastAsia" w:ascii="仿宋" w:hAnsi="仿宋" w:eastAsia="仿宋" w:cs="仿宋"/>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JY-G2024099</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2024年7月钢材采购项目Ⅱ</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2</w:t>
      </w:r>
      <w:r>
        <w:rPr>
          <w:rFonts w:hint="eastAsia" w:ascii="仿宋" w:hAnsi="仿宋" w:eastAsia="仿宋" w:cs="仿宋"/>
          <w:sz w:val="28"/>
          <w:szCs w:val="28"/>
        </w:rPr>
        <w:t>个标包，具体见采购清单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101"/>
        <w:numPr>
          <w:ilvl w:val="0"/>
          <w:numId w:val="2"/>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7</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19</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赵</w:t>
      </w:r>
      <w:r>
        <w:rPr>
          <w:rFonts w:hint="eastAsia" w:ascii="仿宋" w:hAnsi="仿宋" w:eastAsia="仿宋" w:cs="仿宋"/>
          <w:sz w:val="28"/>
          <w:szCs w:val="28"/>
        </w:rPr>
        <w:t>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8DC7D40"/>
    <w:rsid w:val="20CD30B6"/>
    <w:rsid w:val="28205839"/>
    <w:rsid w:val="2D5639EE"/>
    <w:rsid w:val="2FD04375"/>
    <w:rsid w:val="30B5736D"/>
    <w:rsid w:val="317E5179"/>
    <w:rsid w:val="34134919"/>
    <w:rsid w:val="36C43945"/>
    <w:rsid w:val="3BF15859"/>
    <w:rsid w:val="44B47A61"/>
    <w:rsid w:val="4C9578AE"/>
    <w:rsid w:val="4CD76635"/>
    <w:rsid w:val="4F8C3D25"/>
    <w:rsid w:val="58190564"/>
    <w:rsid w:val="6A0D47D7"/>
    <w:rsid w:val="6A57286E"/>
    <w:rsid w:val="727047CE"/>
    <w:rsid w:val="7AEF7DFD"/>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2024-07-17T07:23:47Z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96DE4513B1AE48D4866A11BE8BFBF75B_13</vt:lpwstr>
  </property>
</Properties>
</file>