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sz w:val="24"/>
        </w:rPr>
      </w:pPr>
      <w:bookmarkStart w:id="0" w:name="_Toc526246862"/>
      <w:bookmarkStart w:id="1" w:name="_Toc526778066"/>
      <w:bookmarkStart w:id="2" w:name="_Toc61354154"/>
      <w:bookmarkStart w:id="3" w:name="_Toc526861349"/>
      <w:r>
        <w:rPr>
          <w:rFonts w:hint="eastAsia" w:ascii="仿宋" w:hAnsi="仿宋" w:eastAsia="仿宋"/>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w:t>
      </w:r>
      <w:r>
        <w:rPr>
          <w:rFonts w:ascii="仿宋" w:hAnsi="仿宋" w:eastAsia="仿宋"/>
          <w:sz w:val="24"/>
        </w:rPr>
        <w:t>编号：</w:t>
      </w:r>
      <w:r>
        <w:rPr>
          <w:rFonts w:hint="eastAsia" w:ascii="仿宋" w:hAnsi="仿宋" w:eastAsia="仿宋"/>
          <w:bCs/>
          <w:sz w:val="24"/>
        </w:rPr>
        <w:t xml:space="preserve"> HGZB21</w:t>
      </w:r>
      <w:r>
        <w:rPr>
          <w:rFonts w:hint="eastAsia" w:ascii="仿宋" w:hAnsi="仿宋" w:eastAsia="仿宋"/>
          <w:bCs/>
          <w:sz w:val="24"/>
          <w:lang w:val="en-US" w:eastAsia="zh-CN"/>
        </w:rPr>
        <w:t>630</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w:t>
      </w:r>
      <w:r>
        <w:rPr>
          <w:rFonts w:hint="eastAsia" w:ascii="仿宋" w:hAnsi="仿宋" w:eastAsia="仿宋" w:cs="仿宋"/>
          <w:sz w:val="28"/>
          <w:szCs w:val="28"/>
        </w:rPr>
        <w:t>二炼钢3#连铸拉矫机区单梁吊升级改造</w:t>
      </w:r>
      <w:r>
        <w:rPr>
          <w:rFonts w:hint="eastAsia" w:ascii="仿宋" w:hAnsi="仿宋" w:eastAsia="仿宋" w:cs="仿宋"/>
          <w:sz w:val="28"/>
          <w:szCs w:val="28"/>
          <w:lang w:eastAsia="zh-CN"/>
        </w:rPr>
        <w:t>项目</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建设单位：衡阳华菱连轧管有限公司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工程合同: 固定</w:t>
      </w:r>
      <w:r>
        <w:rPr>
          <w:rFonts w:hint="eastAsia" w:ascii="仿宋" w:hAnsi="仿宋" w:eastAsia="仿宋"/>
          <w:sz w:val="24"/>
          <w:lang w:eastAsia="zh-CN"/>
        </w:rPr>
        <w:t>总</w:t>
      </w:r>
      <w:r>
        <w:rPr>
          <w:rFonts w:hint="eastAsia" w:ascii="仿宋" w:hAnsi="仿宋" w:eastAsia="仿宋"/>
          <w:sz w:val="24"/>
        </w:rPr>
        <w:t>价合同</w:t>
      </w:r>
    </w:p>
    <w:p>
      <w:pPr>
        <w:pStyle w:val="102"/>
        <w:numPr>
          <w:ilvl w:val="0"/>
          <w:numId w:val="1"/>
        </w:numPr>
        <w:spacing w:line="400" w:lineRule="exact"/>
        <w:ind w:firstLineChars="0"/>
        <w:rPr>
          <w:rFonts w:ascii="仿宋" w:hAnsi="仿宋" w:eastAsia="仿宋" w:cs="宋体"/>
          <w:b/>
          <w:sz w:val="24"/>
        </w:rPr>
      </w:pPr>
      <w:r>
        <w:rPr>
          <w:rFonts w:hint="eastAsia" w:ascii="仿宋" w:hAnsi="仿宋" w:eastAsia="仿宋" w:cs="宋体"/>
          <w:b/>
          <w:sz w:val="24"/>
        </w:rPr>
        <w:t>招标范围：</w:t>
      </w:r>
    </w:p>
    <w:p>
      <w:pPr>
        <w:pStyle w:val="102"/>
        <w:numPr>
          <w:ilvl w:val="1"/>
          <w:numId w:val="1"/>
        </w:numPr>
        <w:adjustRightInd w:val="0"/>
        <w:snapToGrid w:val="0"/>
        <w:spacing w:line="360" w:lineRule="exact"/>
        <w:ind w:firstLineChars="0"/>
        <w:contextualSpacing/>
        <w:rPr>
          <w:rFonts w:hint="eastAsia" w:ascii="仿宋" w:hAnsi="仿宋" w:eastAsia="仿宋" w:cs="仿宋"/>
          <w:sz w:val="24"/>
          <w:szCs w:val="24"/>
        </w:rPr>
      </w:pPr>
      <w:r>
        <w:rPr>
          <w:rFonts w:hint="eastAsia" w:ascii="仿宋" w:hAnsi="仿宋" w:eastAsia="仿宋" w:cs="仿宋"/>
          <w:sz w:val="24"/>
          <w:szCs w:val="24"/>
        </w:rPr>
        <w:t>原5t单梁电动葫芦吊整体拆除下线。</w:t>
      </w:r>
    </w:p>
    <w:p>
      <w:pPr>
        <w:pStyle w:val="102"/>
        <w:numPr>
          <w:ilvl w:val="1"/>
          <w:numId w:val="1"/>
        </w:numPr>
        <w:adjustRightInd w:val="0"/>
        <w:snapToGrid w:val="0"/>
        <w:spacing w:line="360" w:lineRule="exact"/>
        <w:ind w:firstLineChars="0"/>
        <w:contextualSpacing/>
        <w:rPr>
          <w:rFonts w:hint="eastAsia" w:ascii="仿宋" w:hAnsi="仿宋" w:eastAsia="仿宋" w:cs="仿宋"/>
          <w:sz w:val="24"/>
          <w:szCs w:val="24"/>
        </w:rPr>
      </w:pPr>
      <w:r>
        <w:rPr>
          <w:rFonts w:hint="eastAsia" w:ascii="仿宋" w:hAnsi="仿宋" w:eastAsia="仿宋" w:cs="仿宋"/>
          <w:sz w:val="24"/>
          <w:szCs w:val="24"/>
        </w:rPr>
        <w:t>新10t单梁电动葫芦吊上线、调试。</w:t>
      </w:r>
    </w:p>
    <w:p>
      <w:pPr>
        <w:pStyle w:val="102"/>
        <w:numPr>
          <w:ilvl w:val="1"/>
          <w:numId w:val="1"/>
        </w:numPr>
        <w:adjustRightInd w:val="0"/>
        <w:snapToGrid w:val="0"/>
        <w:spacing w:line="360" w:lineRule="exact"/>
        <w:ind w:firstLineChars="0"/>
        <w:contextualSpacing/>
        <w:rPr>
          <w:rFonts w:hint="eastAsia" w:ascii="仿宋" w:hAnsi="仿宋" w:eastAsia="仿宋" w:cs="仿宋"/>
          <w:sz w:val="24"/>
          <w:szCs w:val="24"/>
        </w:rPr>
      </w:pPr>
      <w:r>
        <w:rPr>
          <w:rFonts w:hint="eastAsia" w:ascii="仿宋" w:hAnsi="仿宋" w:eastAsia="仿宋" w:cs="仿宋"/>
          <w:sz w:val="24"/>
          <w:szCs w:val="24"/>
        </w:rPr>
        <w:t>委派具有钢结构专业检测资质单位对现有单梁吊基础、轨道、钢结构等进行检测并出具检测检验报告。。</w:t>
      </w:r>
    </w:p>
    <w:p>
      <w:pPr>
        <w:pStyle w:val="102"/>
        <w:numPr>
          <w:ilvl w:val="1"/>
          <w:numId w:val="1"/>
        </w:numPr>
        <w:adjustRightInd w:val="0"/>
        <w:snapToGrid w:val="0"/>
        <w:spacing w:line="360" w:lineRule="exact"/>
        <w:ind w:firstLineChars="0"/>
        <w:contextualSpacing/>
        <w:rPr>
          <w:rFonts w:hint="eastAsia" w:ascii="仿宋" w:hAnsi="仿宋" w:eastAsia="仿宋" w:cs="仿宋"/>
          <w:bCs/>
          <w:sz w:val="24"/>
          <w:szCs w:val="24"/>
        </w:rPr>
      </w:pPr>
      <w:r>
        <w:rPr>
          <w:rFonts w:hint="eastAsia" w:ascii="仿宋" w:hAnsi="仿宋" w:eastAsia="仿宋" w:cs="仿宋"/>
          <w:sz w:val="24"/>
          <w:szCs w:val="24"/>
        </w:rPr>
        <w:t>对现有单梁吊基础、梁、柱等钢结构按安装10t单梁吊国家相应标准进行设计改造（改造加固），</w:t>
      </w:r>
      <w:r>
        <w:rPr>
          <w:rFonts w:hint="eastAsia" w:ascii="仿宋" w:hAnsi="仿宋" w:eastAsia="仿宋" w:cs="仿宋"/>
          <w:snapToGrid w:val="0"/>
          <w:sz w:val="24"/>
          <w:szCs w:val="24"/>
        </w:rPr>
        <w:t>确保10t单梁电动葫芦吊运行过程中安全可靠。</w:t>
      </w:r>
      <w:r>
        <w:rPr>
          <w:rFonts w:hint="eastAsia" w:ascii="仿宋" w:hAnsi="仿宋" w:eastAsia="仿宋" w:cs="仿宋"/>
          <w:bCs/>
          <w:sz w:val="24"/>
          <w:szCs w:val="24"/>
        </w:rPr>
        <w:t>技术监督局验收、发证。</w:t>
      </w:r>
    </w:p>
    <w:p>
      <w:pPr>
        <w:pStyle w:val="102"/>
        <w:adjustRightInd w:val="0"/>
        <w:snapToGrid w:val="0"/>
        <w:spacing w:line="360" w:lineRule="exact"/>
        <w:ind w:left="851" w:firstLine="0" w:firstLineChars="0"/>
        <w:contextualSpacing/>
        <w:rPr>
          <w:rFonts w:hint="eastAsia" w:ascii="仿宋" w:hAnsi="仿宋" w:eastAsia="仿宋" w:cs="仿宋"/>
          <w:sz w:val="24"/>
          <w:szCs w:val="24"/>
        </w:rPr>
      </w:pPr>
      <w:r>
        <w:rPr>
          <w:rFonts w:hint="eastAsia" w:ascii="仿宋" w:hAnsi="仿宋" w:eastAsia="仿宋" w:cs="仿宋"/>
          <w:sz w:val="24"/>
          <w:szCs w:val="24"/>
        </w:rPr>
        <w:t>具体内容、要求详见</w:t>
      </w:r>
      <w:bookmarkStart w:id="6" w:name="_GoBack"/>
      <w:bookmarkEnd w:id="6"/>
      <w:r>
        <w:rPr>
          <w:rFonts w:hint="eastAsia" w:ascii="仿宋" w:hAnsi="仿宋" w:eastAsia="仿宋" w:cs="仿宋"/>
          <w:sz w:val="24"/>
          <w:szCs w:val="24"/>
        </w:rPr>
        <w:t>技术要求规格书。</w:t>
      </w:r>
    </w:p>
    <w:p>
      <w:pPr>
        <w:spacing w:line="440" w:lineRule="exact"/>
        <w:ind w:firstLine="960" w:firstLineChars="400"/>
        <w:rPr>
          <w:rFonts w:hint="eastAsia" w:ascii="仿宋" w:hAnsi="仿宋" w:eastAsia="仿宋" w:cs="仿宋"/>
          <w:sz w:val="24"/>
          <w:szCs w:val="24"/>
        </w:rPr>
      </w:pPr>
      <w:r>
        <w:rPr>
          <w:rFonts w:hint="eastAsia" w:ascii="仿宋" w:hAnsi="仿宋" w:eastAsia="仿宋" w:cs="宋体"/>
          <w:sz w:val="24"/>
          <w:szCs w:val="24"/>
          <w:lang w:eastAsia="zh-CN"/>
        </w:rPr>
        <w:t>交货时间</w:t>
      </w:r>
      <w:r>
        <w:rPr>
          <w:rFonts w:hint="eastAsia" w:ascii="仿宋" w:hAnsi="仿宋" w:eastAsia="仿宋" w:cs="宋体"/>
          <w:sz w:val="24"/>
          <w:szCs w:val="24"/>
          <w:lang w:val="en-US" w:eastAsia="zh-CN"/>
        </w:rPr>
        <w:t>/</w:t>
      </w:r>
      <w:r>
        <w:rPr>
          <w:rFonts w:hint="eastAsia" w:ascii="仿宋" w:hAnsi="仿宋" w:eastAsia="仿宋" w:cs="宋体"/>
          <w:sz w:val="24"/>
          <w:szCs w:val="24"/>
        </w:rPr>
        <w:t>工期：</w:t>
      </w:r>
      <w:r>
        <w:rPr>
          <w:rFonts w:hint="eastAsia" w:ascii="仿宋" w:hAnsi="仿宋" w:eastAsia="仿宋" w:cs="仿宋"/>
          <w:sz w:val="24"/>
          <w:szCs w:val="24"/>
        </w:rPr>
        <w:t>合同签定30天内交货，工期5天</w:t>
      </w:r>
    </w:p>
    <w:p>
      <w:pPr>
        <w:tabs>
          <w:tab w:val="left" w:pos="360"/>
        </w:tabs>
        <w:spacing w:line="400" w:lineRule="exact"/>
        <w:ind w:left="851"/>
        <w:rPr>
          <w:rFonts w:hint="eastAsia" w:ascii="仿宋" w:hAnsi="仿宋" w:eastAsia="仿宋" w:cs="宋体"/>
          <w:sz w:val="24"/>
        </w:rPr>
      </w:pPr>
    </w:p>
    <w:p>
      <w:pPr>
        <w:pStyle w:val="102"/>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3"/>
        <w:numPr>
          <w:ilvl w:val="1"/>
          <w:numId w:val="1"/>
        </w:numPr>
        <w:tabs>
          <w:tab w:val="left" w:pos="709"/>
        </w:tabs>
        <w:spacing w:after="0" w:line="400" w:lineRule="exact"/>
        <w:rPr>
          <w:rFonts w:hint="eastAsia" w:ascii="仿宋" w:hAnsi="仿宋" w:eastAsia="仿宋" w:cs="仿宋"/>
          <w:sz w:val="24"/>
          <w:szCs w:val="24"/>
        </w:rPr>
      </w:pPr>
      <w:r>
        <w:rPr>
          <w:rFonts w:hint="eastAsia" w:ascii="仿宋" w:hAnsi="仿宋" w:eastAsia="仿宋" w:cs="仿宋"/>
          <w:sz w:val="24"/>
          <w:szCs w:val="24"/>
        </w:rPr>
        <w:t>投标人具有独立法人资格并依法取得营业执照，且营业执照有效期内，注册资本1000万元以上（含1000万元）。</w:t>
      </w:r>
    </w:p>
    <w:p>
      <w:pPr>
        <w:pStyle w:val="33"/>
        <w:numPr>
          <w:ilvl w:val="1"/>
          <w:numId w:val="1"/>
        </w:numPr>
        <w:tabs>
          <w:tab w:val="left" w:pos="709"/>
        </w:tabs>
        <w:spacing w:after="0" w:line="400" w:lineRule="exact"/>
        <w:rPr>
          <w:rFonts w:hint="eastAsia" w:ascii="仿宋" w:hAnsi="仿宋" w:eastAsia="仿宋" w:cs="仿宋"/>
          <w:sz w:val="24"/>
          <w:szCs w:val="24"/>
        </w:rPr>
      </w:pPr>
      <w:r>
        <w:rPr>
          <w:rFonts w:hint="eastAsia" w:ascii="仿宋" w:hAnsi="仿宋" w:eastAsia="仿宋" w:cs="仿宋"/>
          <w:sz w:val="24"/>
          <w:szCs w:val="24"/>
        </w:rPr>
        <w:t xml:space="preserve">  投标单位具有起重机制造（含安装、修理、改造）B级以上（含B级）资质。。</w:t>
      </w:r>
    </w:p>
    <w:p>
      <w:pPr>
        <w:pStyle w:val="33"/>
        <w:numPr>
          <w:ilvl w:val="1"/>
          <w:numId w:val="1"/>
        </w:numPr>
        <w:spacing w:after="0" w:line="400" w:lineRule="exact"/>
        <w:rPr>
          <w:rFonts w:hint="eastAsia" w:ascii="仿宋" w:hAnsi="仿宋" w:eastAsia="仿宋" w:cs="仿宋"/>
          <w:sz w:val="24"/>
          <w:szCs w:val="24"/>
        </w:rPr>
      </w:pPr>
      <w:r>
        <w:rPr>
          <w:rFonts w:hint="eastAsia" w:ascii="仿宋" w:hAnsi="仿宋" w:eastAsia="仿宋" w:cs="仿宋"/>
          <w:sz w:val="24"/>
          <w:szCs w:val="24"/>
        </w:rPr>
        <w:t xml:space="preserve">  遵守国家法律、行政法规，具有良好的商业信誉，未被工商行政管理机关在全国企业信用信息公示系统中列入严重违法失信企业名单。</w:t>
      </w:r>
    </w:p>
    <w:p>
      <w:pPr>
        <w:pStyle w:val="33"/>
        <w:numPr>
          <w:ilvl w:val="1"/>
          <w:numId w:val="1"/>
        </w:numPr>
        <w:tabs>
          <w:tab w:val="left" w:pos="709"/>
        </w:tabs>
        <w:spacing w:after="0" w:line="400" w:lineRule="exact"/>
        <w:rPr>
          <w:rFonts w:hint="eastAsia" w:ascii="仿宋" w:hAnsi="仿宋" w:eastAsia="仿宋" w:cs="仿宋"/>
          <w:sz w:val="24"/>
          <w:szCs w:val="24"/>
        </w:rPr>
      </w:pPr>
      <w:r>
        <w:rPr>
          <w:rFonts w:hint="eastAsia" w:ascii="仿宋" w:hAnsi="仿宋" w:eastAsia="仿宋" w:cs="仿宋"/>
          <w:sz w:val="24"/>
          <w:szCs w:val="24"/>
        </w:rPr>
        <w:t xml:space="preserve">  投标人财务状况良好，没有处于资产被接管或冻结状态。未被法院在“信用中国”网站（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HYPERLINK "http://www.creditchian.gov.cn"</w:instrText>
      </w:r>
      <w:r>
        <w:rPr>
          <w:rFonts w:hint="eastAsia" w:ascii="仿宋" w:hAnsi="仿宋" w:eastAsia="仿宋" w:cs="仿宋"/>
          <w:sz w:val="24"/>
          <w:szCs w:val="24"/>
        </w:rPr>
        <w:fldChar w:fldCharType="separate"/>
      </w:r>
      <w:r>
        <w:rPr>
          <w:rFonts w:hint="eastAsia" w:ascii="仿宋" w:hAnsi="仿宋" w:eastAsia="仿宋" w:cs="仿宋"/>
          <w:sz w:val="24"/>
          <w:szCs w:val="24"/>
        </w:rPr>
        <w:t>www.creditchian.gov.cn</w:t>
      </w:r>
      <w:r>
        <w:rPr>
          <w:rFonts w:hint="eastAsia" w:ascii="仿宋" w:hAnsi="仿宋" w:eastAsia="仿宋" w:cs="仿宋"/>
          <w:sz w:val="24"/>
          <w:szCs w:val="24"/>
        </w:rPr>
        <w:fldChar w:fldCharType="end"/>
      </w:r>
      <w:r>
        <w:rPr>
          <w:rFonts w:hint="eastAsia" w:ascii="仿宋" w:hAnsi="仿宋" w:eastAsia="仿宋" w:cs="仿宋"/>
          <w:sz w:val="24"/>
          <w:szCs w:val="24"/>
        </w:rPr>
        <w:t>）或公共信用平台列入失信名单。</w:t>
      </w:r>
    </w:p>
    <w:p>
      <w:pPr>
        <w:pStyle w:val="33"/>
        <w:numPr>
          <w:ilvl w:val="1"/>
          <w:numId w:val="1"/>
        </w:numPr>
        <w:spacing w:after="0" w:line="400" w:lineRule="exact"/>
        <w:rPr>
          <w:rFonts w:hint="eastAsia" w:ascii="仿宋" w:hAnsi="仿宋" w:eastAsia="仿宋" w:cs="仿宋"/>
          <w:sz w:val="24"/>
          <w:szCs w:val="24"/>
        </w:rPr>
      </w:pPr>
      <w:r>
        <w:rPr>
          <w:rFonts w:hint="eastAsia" w:ascii="仿宋" w:hAnsi="仿宋" w:eastAsia="仿宋" w:cs="仿宋"/>
          <w:sz w:val="24"/>
          <w:szCs w:val="24"/>
        </w:rPr>
        <w:t xml:space="preserve">  本招标项目不接受列入湖南华菱钢铁集团有限责任公司及其分（子）公司供应商黑名单，或衡阳华菱钢管（连轧管）有限公司供应商资格暂停、取消、淘汰期间的单位或个人投标。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lang w:val="en-US" w:eastAsia="zh-CN"/>
        </w:rPr>
        <w:t>1</w:t>
      </w:r>
      <w:r>
        <w:rPr>
          <w:rFonts w:hint="eastAsia" w:ascii="仿宋" w:hAnsi="仿宋" w:eastAsia="仿宋"/>
          <w:sz w:val="24"/>
        </w:rPr>
        <w:t>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rPr>
        <w:t>2000</w:t>
      </w:r>
      <w:r>
        <w:rPr>
          <w:rFonts w:ascii="仿宋" w:hAnsi="仿宋" w:eastAsia="仿宋"/>
          <w:sz w:val="24"/>
        </w:rPr>
        <w:t>元人民币</w:t>
      </w:r>
      <w:r>
        <w:rPr>
          <w:rFonts w:hint="eastAsia" w:ascii="仿宋" w:hAnsi="仿宋" w:eastAsia="仿宋"/>
          <w:sz w:val="24"/>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仿宋"/>
          <w:b/>
          <w:sz w:val="28"/>
          <w:szCs w:val="28"/>
          <w:u w:val="single"/>
        </w:rPr>
        <w:t>2021年12月</w:t>
      </w:r>
      <w:r>
        <w:rPr>
          <w:rFonts w:hint="eastAsia" w:ascii="仿宋" w:hAnsi="仿宋" w:eastAsia="仿宋" w:cs="仿宋"/>
          <w:b/>
          <w:sz w:val="28"/>
          <w:szCs w:val="28"/>
          <w:u w:val="single"/>
          <w:lang w:val="en-US" w:eastAsia="zh-CN"/>
        </w:rPr>
        <w:t>28</w:t>
      </w:r>
      <w:r>
        <w:rPr>
          <w:rFonts w:hint="eastAsia" w:ascii="仿宋" w:hAnsi="仿宋" w:eastAsia="仿宋" w:cs="仿宋"/>
          <w:b/>
          <w:sz w:val="28"/>
          <w:szCs w:val="28"/>
          <w:u w:val="single"/>
        </w:rPr>
        <w:t>日下午14:30</w:t>
      </w:r>
      <w:r>
        <w:rPr>
          <w:rFonts w:hint="eastAsia" w:ascii="仿宋" w:hAnsi="仿宋" w:eastAsia="仿宋"/>
          <w:b/>
          <w:sz w:val="24"/>
        </w:rPr>
        <w:t>(北京时间)</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2"/>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2"/>
        <w:numPr>
          <w:ilvl w:val="0"/>
          <w:numId w:val="1"/>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0677994"/>
      <w:bookmarkStart w:id="5" w:name="_Toc303864862"/>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2"/>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pStyle w:val="102"/>
        <w:spacing w:line="360" w:lineRule="exact"/>
        <w:ind w:left="851" w:firstLine="0" w:firstLineChars="0"/>
        <w:jc w:val="left"/>
        <w:rPr>
          <w:rFonts w:hint="eastAsia" w:ascii="仿宋" w:hAnsi="仿宋" w:eastAsia="仿宋" w:cs="宋体"/>
          <w:bCs/>
          <w:sz w:val="24"/>
        </w:rPr>
      </w:pPr>
      <w:r>
        <w:rPr>
          <w:rFonts w:hint="eastAsia" w:ascii="仿宋" w:hAnsi="仿宋" w:eastAsia="仿宋" w:cs="宋体"/>
          <w:sz w:val="24"/>
        </w:rPr>
        <w:t>项目</w:t>
      </w:r>
      <w:r>
        <w:rPr>
          <w:rFonts w:hint="eastAsia" w:ascii="仿宋" w:hAnsi="仿宋" w:eastAsia="仿宋" w:cs="宋体"/>
          <w:bCs/>
          <w:sz w:val="24"/>
        </w:rPr>
        <w:t xml:space="preserve">联系人：  胡先生                  手机：13974729815               </w:t>
      </w:r>
    </w:p>
    <w:p>
      <w:pPr>
        <w:pStyle w:val="102"/>
        <w:spacing w:line="360" w:lineRule="exact"/>
        <w:ind w:left="851" w:firstLine="0" w:firstLineChars="0"/>
        <w:jc w:val="left"/>
        <w:rPr>
          <w:rFonts w:hint="eastAsia" w:ascii="仿宋" w:hAnsi="仿宋" w:eastAsia="仿宋" w:cs="宋体"/>
          <w:bCs/>
          <w:sz w:val="24"/>
        </w:rPr>
      </w:pPr>
      <w:r>
        <w:rPr>
          <w:rFonts w:hint="eastAsia" w:ascii="仿宋" w:hAnsi="仿宋" w:eastAsia="仿宋" w:cs="宋体"/>
          <w:bCs/>
          <w:sz w:val="24"/>
        </w:rPr>
        <w:t>详细地址：衡阳华菱钢管有限公司</w:t>
      </w:r>
      <w:r>
        <w:rPr>
          <w:rFonts w:hint="eastAsia" w:ascii="仿宋" w:hAnsi="仿宋" w:eastAsia="仿宋" w:cs="宋体"/>
          <w:bCs/>
          <w:sz w:val="24"/>
        </w:rPr>
        <w:t>设备工程部</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sz w:val="24"/>
        </w:rPr>
        <w:t>洪先生</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（办）           手机：</w:t>
      </w:r>
      <w:r>
        <w:rPr>
          <w:rFonts w:hint="eastAsia" w:ascii="仿宋" w:hAnsi="仿宋" w:eastAsia="仿宋"/>
          <w:sz w:val="24"/>
        </w:rPr>
        <w:t>15616678886</w:t>
      </w:r>
    </w:p>
    <w:p>
      <w:pPr>
        <w:snapToGrid w:val="0"/>
        <w:spacing w:line="400" w:lineRule="exact"/>
        <w:ind w:left="850" w:leftChars="405"/>
        <w:rPr>
          <w:rFonts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/湖南衡阳钢管（集团）有限公司招标办</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6D9"/>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272A"/>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65EE"/>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0CFF"/>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361F"/>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2A760ECF"/>
    <w:rsid w:val="30B5736D"/>
    <w:rsid w:val="34134919"/>
    <w:rsid w:val="36C43945"/>
    <w:rsid w:val="4CD76635"/>
    <w:rsid w:val="4F431EC0"/>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8"/>
    <w:qFormat/>
    <w:uiPriority w:val="0"/>
    <w:pPr>
      <w:widowControl/>
      <w:spacing w:line="360" w:lineRule="auto"/>
      <w:outlineLvl w:val="2"/>
    </w:pPr>
    <w:rPr>
      <w:b/>
      <w:bCs/>
      <w:sz w:val="24"/>
    </w:rPr>
  </w:style>
  <w:style w:type="paragraph" w:styleId="5">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uiPriority w:val="0"/>
    <w:pPr>
      <w:jc w:val="left"/>
    </w:pPr>
  </w:style>
  <w:style w:type="paragraph" w:styleId="15">
    <w:name w:val="Body Text"/>
    <w:basedOn w:val="1"/>
    <w:link w:val="90"/>
    <w:uiPriority w:val="0"/>
    <w:pPr>
      <w:spacing w:after="120"/>
    </w:pPr>
  </w:style>
  <w:style w:type="paragraph" w:styleId="16">
    <w:name w:val="Body Text Indent"/>
    <w:basedOn w:val="1"/>
    <w:link w:val="91"/>
    <w:uiPriority w:val="0"/>
    <w:pPr>
      <w:spacing w:line="570" w:lineRule="exact"/>
      <w:ind w:firstLine="200" w:firstLineChars="200"/>
    </w:pPr>
    <w:rPr>
      <w:spacing w:val="-4"/>
    </w:rPr>
  </w:style>
  <w:style w:type="paragraph" w:styleId="17">
    <w:name w:val="List 2"/>
    <w:basedOn w:val="1"/>
    <w:qFormat/>
    <w:uiPriority w:val="0"/>
    <w:pPr>
      <w:widowControl/>
      <w:ind w:left="840" w:hanging="420"/>
      <w:jc w:val="left"/>
    </w:pPr>
    <w:rPr>
      <w:rFonts w:ascii="宋体"/>
      <w:kern w:val="0"/>
      <w:sz w:val="22"/>
      <w:szCs w:val="20"/>
    </w:rPr>
  </w:style>
  <w:style w:type="paragraph" w:styleId="18">
    <w:name w:val="toc 5"/>
    <w:basedOn w:val="1"/>
    <w:next w:val="1"/>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2"/>
    <w:qFormat/>
    <w:uiPriority w:val="0"/>
    <w:rPr>
      <w:rFonts w:ascii="Cambria" w:hAnsi="Cambria"/>
      <w:b/>
      <w:bCs/>
      <w:kern w:val="32"/>
      <w:sz w:val="32"/>
      <w:szCs w:val="32"/>
    </w:rPr>
  </w:style>
  <w:style w:type="character" w:customStyle="1" w:styleId="47">
    <w:name w:val="标题 2 Char"/>
    <w:basedOn w:val="40"/>
    <w:link w:val="3"/>
    <w:qFormat/>
    <w:uiPriority w:val="0"/>
    <w:rPr>
      <w:rFonts w:ascii="Cambria" w:hAnsi="Cambria" w:eastAsia="宋体" w:cs="Times New Roman"/>
      <w:b/>
      <w:bCs/>
      <w:kern w:val="2"/>
      <w:sz w:val="32"/>
      <w:szCs w:val="32"/>
    </w:rPr>
  </w:style>
  <w:style w:type="character" w:customStyle="1" w:styleId="48">
    <w:name w:val="标题 3 Char"/>
    <w:basedOn w:val="40"/>
    <w:link w:val="4"/>
    <w:qFormat/>
    <w:uiPriority w:val="0"/>
    <w:rPr>
      <w:b/>
      <w:bCs/>
      <w:sz w:val="24"/>
      <w:szCs w:val="24"/>
    </w:rPr>
  </w:style>
  <w:style w:type="character" w:customStyle="1" w:styleId="49">
    <w:name w:val="标题 4 Char"/>
    <w:basedOn w:val="40"/>
    <w:link w:val="5"/>
    <w:qFormat/>
    <w:uiPriority w:val="0"/>
    <w:rPr>
      <w:rFonts w:ascii="Arial" w:hAnsi="Arial"/>
      <w:b/>
      <w:bCs/>
      <w:kern w:val="2"/>
      <w:sz w:val="21"/>
      <w:szCs w:val="28"/>
    </w:rPr>
  </w:style>
  <w:style w:type="character" w:customStyle="1" w:styleId="50">
    <w:name w:val="标题 5 Char"/>
    <w:basedOn w:val="40"/>
    <w:link w:val="6"/>
    <w:qFormat/>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2"/>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5"/>
    <w:qFormat/>
    <w:uiPriority w:val="0"/>
    <w:rPr>
      <w:kern w:val="2"/>
      <w:sz w:val="21"/>
      <w:szCs w:val="24"/>
    </w:rPr>
  </w:style>
  <w:style w:type="character" w:customStyle="1" w:styleId="91">
    <w:name w:val="正文文本缩进 Char"/>
    <w:basedOn w:val="40"/>
    <w:link w:val="16"/>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1235</Words>
  <Characters>285</Characters>
  <Lines>2</Lines>
  <Paragraphs>3</Paragraphs>
  <TotalTime>1</TotalTime>
  <ScaleCrop>false</ScaleCrop>
  <LinksUpToDate>false</LinksUpToDate>
  <CharactersWithSpaces>1517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2021-12-23T14:02:53Z</dcterms:modified>
  <dc:title>第二章  投标人须知</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