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61354154"/>
      <w:bookmarkStart w:id="1" w:name="_Toc526861349"/>
      <w:bookmarkStart w:id="2" w:name="_Toc526778066"/>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项目编号：HGSGW</w:t>
      </w:r>
      <w:r>
        <w:rPr>
          <w:rFonts w:hint="eastAsia" w:ascii="仿宋" w:hAnsi="仿宋" w:eastAsia="仿宋" w:cs="仿宋"/>
          <w:color w:val="auto"/>
          <w:sz w:val="24"/>
          <w:lang w:val="en-US" w:eastAsia="zh-CN"/>
        </w:rPr>
        <w:t>22003</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项目名称：2022年1月炼铁厂高炉送风装置维修项目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2"/>
        <w:numPr>
          <w:ilvl w:val="1"/>
          <w:numId w:val="1"/>
        </w:numPr>
        <w:adjustRightInd w:val="0"/>
        <w:snapToGrid w:val="0"/>
        <w:spacing w:line="360" w:lineRule="exact"/>
        <w:ind w:right="57" w:rightChars="27"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项目范围：炼铁厂高炉送风装置维修项目主要包括弯头修复（凿料、捣料）、直吹管修复（凿料、捣料）、鹅颈管修复（凿料、捣料）、风口大盖（凿料、捣料）</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维修地点：中标单位</w:t>
      </w:r>
    </w:p>
    <w:p>
      <w:pPr>
        <w:pStyle w:val="102"/>
        <w:numPr>
          <w:ilvl w:val="1"/>
          <w:numId w:val="1"/>
        </w:numPr>
        <w:adjustRightInd w:val="0"/>
        <w:snapToGrid w:val="0"/>
        <w:spacing w:line="360" w:lineRule="exact"/>
        <w:ind w:firstLineChars="0"/>
        <w:contextualSpacing/>
        <w:rPr>
          <w:rFonts w:hint="eastAsia" w:ascii="仿宋" w:hAnsi="仿宋" w:eastAsia="仿宋" w:cs="仿宋"/>
          <w:b w:val="0"/>
          <w:bCs w:val="0"/>
          <w:color w:val="auto"/>
          <w:sz w:val="24"/>
        </w:rPr>
      </w:pPr>
      <w:r>
        <w:rPr>
          <w:rFonts w:hint="eastAsia" w:ascii="仿宋" w:hAnsi="仿宋" w:eastAsia="仿宋" w:cs="仿宋"/>
          <w:color w:val="auto"/>
          <w:sz w:val="24"/>
        </w:rPr>
        <w:t>工期</w:t>
      </w:r>
      <w:r>
        <w:rPr>
          <w:rFonts w:hint="eastAsia" w:ascii="仿宋" w:hAnsi="仿宋" w:eastAsia="仿宋" w:cs="仿宋"/>
          <w:b w:val="0"/>
          <w:bCs w:val="0"/>
          <w:color w:val="auto"/>
          <w:sz w:val="24"/>
        </w:rPr>
        <w:t>：合同签订后20天内</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合同类型：固定单价合同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具体详细的维修内容及要求、数量、主要技术参数及相关服务详见本文件第四部分：技术规格及要求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numPr>
          <w:ilvl w:val="1"/>
          <w:numId w:val="2"/>
        </w:numPr>
        <w:spacing w:line="480" w:lineRule="exact"/>
        <w:rPr>
          <w:rFonts w:hint="eastAsia" w:ascii="仿宋" w:hAnsi="仿宋" w:eastAsia="仿宋" w:cs="仿宋"/>
          <w:color w:val="auto"/>
          <w:sz w:val="24"/>
          <w:szCs w:val="28"/>
        </w:rPr>
      </w:pPr>
      <w:r>
        <w:rPr>
          <w:rFonts w:hint="eastAsia" w:ascii="仿宋" w:hAnsi="仿宋" w:eastAsia="仿宋" w:cs="仿宋"/>
          <w:color w:val="auto"/>
          <w:sz w:val="24"/>
          <w:szCs w:val="28"/>
        </w:rPr>
        <w:t xml:space="preserve">   投标单位必须具有华菱集团高炉送风装置维修与供货业绩</w:t>
      </w:r>
      <w:r>
        <w:rPr>
          <w:rFonts w:hint="eastAsia" w:ascii="仿宋" w:hAnsi="仿宋" w:eastAsia="仿宋" w:cs="仿宋"/>
          <w:b/>
          <w:color w:val="auto"/>
          <w:sz w:val="24"/>
        </w:rPr>
        <w:t>(须提供合同复印件)</w:t>
      </w:r>
      <w:r>
        <w:rPr>
          <w:rFonts w:hint="eastAsia" w:ascii="仿宋" w:hAnsi="仿宋" w:eastAsia="仿宋" w:cs="仿宋"/>
          <w:color w:val="auto"/>
          <w:sz w:val="24"/>
          <w:szCs w:val="28"/>
        </w:rPr>
        <w:t>。</w:t>
      </w:r>
    </w:p>
    <w:p>
      <w:pPr>
        <w:numPr>
          <w:ilvl w:val="1"/>
          <w:numId w:val="2"/>
        </w:numPr>
        <w:spacing w:line="480" w:lineRule="exact"/>
        <w:rPr>
          <w:rFonts w:hint="eastAsia" w:ascii="仿宋" w:hAnsi="仿宋" w:eastAsia="仿宋" w:cs="仿宋"/>
          <w:color w:val="auto"/>
          <w:sz w:val="24"/>
          <w:szCs w:val="28"/>
        </w:rPr>
      </w:pPr>
      <w:r>
        <w:rPr>
          <w:rFonts w:hint="eastAsia" w:ascii="仿宋" w:hAnsi="仿宋" w:eastAsia="仿宋" w:cs="仿宋"/>
          <w:color w:val="auto"/>
          <w:sz w:val="24"/>
          <w:szCs w:val="28"/>
        </w:rPr>
        <w:t xml:space="preserve">   投标单位必须具有ISO9001质量体系认证资质。</w:t>
      </w:r>
    </w:p>
    <w:p>
      <w:pPr>
        <w:numPr>
          <w:ilvl w:val="1"/>
          <w:numId w:val="2"/>
        </w:numPr>
        <w:spacing w:line="480" w:lineRule="exact"/>
        <w:rPr>
          <w:rFonts w:hint="eastAsia" w:ascii="仿宋" w:hAnsi="仿宋" w:eastAsia="仿宋" w:cs="仿宋"/>
          <w:color w:val="auto"/>
          <w:sz w:val="24"/>
          <w:szCs w:val="28"/>
        </w:rPr>
      </w:pPr>
      <w:r>
        <w:rPr>
          <w:rFonts w:hint="eastAsia" w:ascii="仿宋" w:hAnsi="仿宋" w:eastAsia="仿宋" w:cs="仿宋"/>
          <w:color w:val="auto"/>
          <w:sz w:val="24"/>
          <w:szCs w:val="28"/>
        </w:rPr>
        <w:t xml:space="preserve">   投标单位具有独立法人资格并依法取得营业执照，营业执照处于有效期内，注册资本1000万元以上（含1000万元）。</w:t>
      </w:r>
    </w:p>
    <w:p>
      <w:pPr>
        <w:pStyle w:val="102"/>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  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2"/>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2"/>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2"/>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rPr>
        <w:t>6000</w:t>
      </w:r>
      <w:r>
        <w:rPr>
          <w:rFonts w:hint="eastAsia" w:ascii="仿宋" w:hAnsi="仿宋" w:eastAsia="仿宋" w:cs="仿宋"/>
          <w:b/>
          <w:color w:val="auto"/>
          <w:sz w:val="24"/>
        </w:rPr>
        <w:t>元人民币</w:t>
      </w:r>
      <w:r>
        <w:rPr>
          <w:rFonts w:hint="eastAsia" w:ascii="仿宋" w:hAnsi="仿宋" w:eastAsia="仿宋" w:cs="仿宋"/>
          <w:color w:val="auto"/>
          <w:sz w:val="24"/>
        </w:rPr>
        <w:t>。</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2022年1月2</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日下午14:30(北京时间)</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w:t>
      </w:r>
      <w:r>
        <w:rPr>
          <w:rFonts w:hint="eastAsia" w:ascii="仿宋" w:hAnsi="仿宋" w:eastAsia="仿宋" w:cs="仿宋"/>
          <w:b/>
          <w:color w:val="auto"/>
          <w:sz w:val="24"/>
        </w:rPr>
        <w:t>衡阳华菱钢管有限公司西办公楼三楼开标二室（采购部三楼）或</w:t>
      </w:r>
      <w:r>
        <w:rPr>
          <w:rFonts w:hint="eastAsia" w:ascii="仿宋" w:hAnsi="仿宋" w:eastAsia="仿宋" w:cs="仿宋"/>
          <w:color w:val="auto"/>
          <w:sz w:val="24"/>
        </w:rPr>
        <w:t>招标方指定接收投标文件的邮箱</w:t>
      </w:r>
      <w:r>
        <w:rPr>
          <w:rFonts w:hint="eastAsia" w:ascii="仿宋" w:hAnsi="仿宋" w:eastAsia="仿宋" w:cs="仿宋"/>
          <w:b/>
          <w:bCs/>
          <w:color w:val="auto"/>
          <w:sz w:val="24"/>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"mailto:hgtoubiao1@126.com" </w:instrText>
      </w:r>
      <w:r>
        <w:rPr>
          <w:rFonts w:hint="eastAsia" w:ascii="仿宋" w:hAnsi="仿宋" w:eastAsia="仿宋" w:cs="仿宋"/>
          <w:color w:val="auto"/>
        </w:rPr>
        <w:fldChar w:fldCharType="separate"/>
      </w:r>
      <w:r>
        <w:rPr>
          <w:rStyle w:val="44"/>
          <w:rFonts w:hint="eastAsia" w:ascii="仿宋" w:hAnsi="仿宋" w:eastAsia="仿宋" w:cs="仿宋"/>
          <w:b/>
          <w:bCs/>
          <w:color w:val="auto"/>
          <w:sz w:val="24"/>
        </w:rPr>
        <w:t>hgtoubiao2@126.com</w:t>
      </w:r>
      <w:r>
        <w:rPr>
          <w:rStyle w:val="44"/>
          <w:rFonts w:hint="eastAsia" w:ascii="仿宋" w:hAnsi="仿宋" w:eastAsia="仿宋" w:cs="仿宋"/>
          <w:b/>
          <w:bCs/>
          <w:color w:val="auto"/>
          <w:sz w:val="24"/>
        </w:rPr>
        <w:fldChar w:fldCharType="end"/>
      </w:r>
      <w:r>
        <w:rPr>
          <w:rFonts w:hint="eastAsia" w:ascii="仿宋" w:hAnsi="仿宋" w:eastAsia="仿宋" w:cs="仿宋"/>
          <w:b/>
          <w:bCs/>
          <w:color w:val="auto"/>
          <w:sz w:val="24"/>
        </w:rPr>
        <w:t>）</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监督</w:t>
      </w:r>
    </w:p>
    <w:p>
      <w:pPr>
        <w:pStyle w:val="102"/>
        <w:numPr>
          <w:ilvl w:val="0"/>
          <w:numId w:val="2"/>
        </w:numPr>
        <w:tabs>
          <w:tab w:val="left" w:pos="851"/>
        </w:tabs>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sz w:val="24"/>
        </w:rPr>
        <w:t xml:space="preserve">   </w:t>
      </w:r>
      <w:r>
        <w:rPr>
          <w:rFonts w:hint="eastAsia" w:ascii="仿宋" w:hAnsi="仿宋" w:eastAsia="仿宋" w:cs="仿宋"/>
          <w:color w:val="auto"/>
          <w:kern w:val="0"/>
          <w:sz w:val="24"/>
        </w:rPr>
        <w:t>0734-8872189</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联系方式：</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项目联系人：肖先生</w:t>
      </w:r>
    </w:p>
    <w:p>
      <w:pPr>
        <w:snapToGrid w:val="0"/>
        <w:spacing w:line="400" w:lineRule="exact"/>
        <w:ind w:left="850" w:leftChars="405"/>
        <w:rPr>
          <w:rFonts w:hint="eastAsia" w:ascii="仿宋" w:hAnsi="仿宋" w:eastAsia="仿宋" w:cs="仿宋"/>
          <w:color w:val="auto"/>
          <w:sz w:val="24"/>
        </w:rPr>
      </w:pPr>
      <w:bookmarkStart w:id="6" w:name="_GoBack"/>
      <w:bookmarkEnd w:id="6"/>
      <w:r>
        <w:rPr>
          <w:rFonts w:hint="eastAsia" w:ascii="仿宋" w:hAnsi="仿宋" w:eastAsia="仿宋" w:cs="仿宋"/>
          <w:color w:val="auto"/>
          <w:sz w:val="24"/>
        </w:rPr>
        <w:t>电话：（0734）8875226                     手机：18692346779</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 xml:space="preserve">电话：（0734）8872579（办）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手机：15616678886</w:t>
      </w:r>
    </w:p>
    <w:p>
      <w:pPr>
        <w:spacing w:line="440" w:lineRule="exact"/>
        <w:ind w:firstLine="840" w:firstLineChars="350"/>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详细地址：衡阳华菱钢管有限公司企业管理和人力资源部招标管理科</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C67"/>
    <w:multiLevelType w:val="multilevel"/>
    <w:tmpl w:val="14FB1C67"/>
    <w:lvl w:ilvl="0" w:tentative="0">
      <w:start w:val="1"/>
      <w:numFmt w:val="decimal"/>
      <w:lvlText w:val="%1"/>
      <w:lvlJc w:val="left"/>
      <w:pPr>
        <w:ind w:left="360" w:hanging="3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2957"/>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9531CAC"/>
    <w:rsid w:val="19BE4636"/>
    <w:rsid w:val="1E9222F6"/>
    <w:rsid w:val="25B37A76"/>
    <w:rsid w:val="296B78FC"/>
    <w:rsid w:val="2AD91EC9"/>
    <w:rsid w:val="2AF75217"/>
    <w:rsid w:val="30B5736D"/>
    <w:rsid w:val="34134919"/>
    <w:rsid w:val="36C204B2"/>
    <w:rsid w:val="36C43945"/>
    <w:rsid w:val="3713662C"/>
    <w:rsid w:val="3DE46735"/>
    <w:rsid w:val="41E2444A"/>
    <w:rsid w:val="4CD76635"/>
    <w:rsid w:val="4DFD33D7"/>
    <w:rsid w:val="4F8C3D25"/>
    <w:rsid w:val="50D24C58"/>
    <w:rsid w:val="55860B9D"/>
    <w:rsid w:val="5CF249B3"/>
    <w:rsid w:val="5D743BD5"/>
    <w:rsid w:val="5EB145CB"/>
    <w:rsid w:val="67815AC2"/>
    <w:rsid w:val="6F81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0</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2022-01-22T06:58:43Z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