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hint="eastAsia" w:ascii="仿宋" w:hAnsi="仿宋" w:eastAsia="仿宋" w:cs="仿宋"/>
          <w:color w:val="auto"/>
          <w:sz w:val="24"/>
        </w:rPr>
      </w:pPr>
      <w:bookmarkStart w:id="6" w:name="_GoBack"/>
      <w:bookmarkStart w:id="0" w:name="_Toc526778066"/>
      <w:bookmarkStart w:id="1" w:name="_Toc526861349"/>
      <w:bookmarkStart w:id="2" w:name="_Toc61354154"/>
      <w:bookmarkStart w:id="3" w:name="_Toc526246862"/>
      <w:r>
        <w:rPr>
          <w:rFonts w:hint="eastAsia" w:ascii="仿宋" w:hAnsi="仿宋" w:eastAsia="仿宋" w:cs="仿宋"/>
          <w:color w:val="auto"/>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 HGSG</w:t>
      </w:r>
      <w:r>
        <w:rPr>
          <w:rFonts w:hint="eastAsia" w:ascii="仿宋" w:hAnsi="仿宋" w:eastAsia="仿宋" w:cs="仿宋"/>
          <w:color w:val="auto"/>
          <w:sz w:val="24"/>
          <w:lang w:val="en-US" w:eastAsia="zh-CN"/>
        </w:rPr>
        <w:t>W</w:t>
      </w:r>
      <w:r>
        <w:rPr>
          <w:rFonts w:hint="eastAsia" w:ascii="仿宋" w:hAnsi="仿宋" w:eastAsia="仿宋" w:cs="仿宋"/>
          <w:color w:val="auto"/>
          <w:sz w:val="24"/>
        </w:rPr>
        <w:t>2200</w:t>
      </w:r>
      <w:r>
        <w:rPr>
          <w:rFonts w:hint="eastAsia" w:ascii="仿宋" w:hAnsi="仿宋" w:eastAsia="仿宋" w:cs="仿宋"/>
          <w:color w:val="auto"/>
          <w:sz w:val="24"/>
          <w:lang w:val="en-US" w:eastAsia="zh-CN"/>
        </w:rPr>
        <w:t>5</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项目名称：厂区主道路沥青混凝土面层维修工程</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建设单位：衡阳华菱连轧管有限公司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固定单价合同</w:t>
      </w:r>
    </w:p>
    <w:p>
      <w:pPr>
        <w:pStyle w:val="101"/>
        <w:numPr>
          <w:ilvl w:val="0"/>
          <w:numId w:val="1"/>
        </w:numPr>
        <w:spacing w:line="400" w:lineRule="exact"/>
        <w:ind w:firstLineChars="0"/>
        <w:rPr>
          <w:rFonts w:hint="eastAsia" w:ascii="仿宋" w:hAnsi="仿宋" w:eastAsia="仿宋" w:cs="仿宋"/>
          <w:b/>
          <w:color w:val="auto"/>
          <w:sz w:val="24"/>
        </w:rPr>
      </w:pPr>
      <w:r>
        <w:rPr>
          <w:rFonts w:hint="eastAsia" w:ascii="仿宋" w:hAnsi="仿宋" w:eastAsia="仿宋" w:cs="仿宋"/>
          <w:b/>
          <w:color w:val="auto"/>
          <w:sz w:val="24"/>
        </w:rPr>
        <w:t>招标范围：</w:t>
      </w:r>
    </w:p>
    <w:p>
      <w:pPr>
        <w:spacing w:line="400" w:lineRule="exact"/>
        <w:ind w:left="987" w:leftChars="171" w:hanging="628" w:hangingChars="262"/>
        <w:rPr>
          <w:rFonts w:hint="eastAsia" w:ascii="仿宋" w:hAnsi="仿宋" w:eastAsia="仿宋" w:cs="仿宋"/>
          <w:color w:val="auto"/>
          <w:sz w:val="24"/>
        </w:rPr>
      </w:pPr>
      <w:r>
        <w:rPr>
          <w:rFonts w:hint="eastAsia" w:ascii="仿宋" w:hAnsi="仿宋" w:eastAsia="仿宋" w:cs="仿宋"/>
          <w:color w:val="auto"/>
          <w:sz w:val="24"/>
        </w:rPr>
        <w:t>2.1 东西主干道，路面混凝土板块松动路基翻浆，沥青混凝土面层破损区域局部维修。</w:t>
      </w:r>
    </w:p>
    <w:p>
      <w:pPr>
        <w:spacing w:line="400" w:lineRule="exact"/>
        <w:ind w:left="987" w:leftChars="171" w:hanging="628" w:hangingChars="262"/>
        <w:rPr>
          <w:rFonts w:hint="eastAsia" w:ascii="仿宋" w:hAnsi="仿宋" w:eastAsia="仿宋" w:cs="仿宋"/>
          <w:color w:val="auto"/>
          <w:sz w:val="24"/>
        </w:rPr>
      </w:pPr>
      <w:r>
        <w:rPr>
          <w:rFonts w:hint="eastAsia" w:ascii="仿宋" w:hAnsi="仿宋" w:eastAsia="仿宋" w:cs="仿宋"/>
          <w:color w:val="auto"/>
          <w:sz w:val="24"/>
        </w:rPr>
        <w:t>2.2 720厂办公楼前路段，路面混凝土板缝处沥青混凝土面层破损区域局部维修。</w:t>
      </w:r>
    </w:p>
    <w:p>
      <w:pPr>
        <w:spacing w:line="400" w:lineRule="exact"/>
        <w:ind w:left="873" w:leftChars="170" w:hanging="516" w:hangingChars="215"/>
        <w:rPr>
          <w:rFonts w:hint="eastAsia" w:ascii="仿宋" w:hAnsi="仿宋" w:eastAsia="仿宋" w:cs="仿宋"/>
          <w:color w:val="auto"/>
          <w:sz w:val="24"/>
        </w:rPr>
      </w:pPr>
      <w:r>
        <w:rPr>
          <w:rFonts w:hint="eastAsia" w:ascii="仿宋" w:hAnsi="仿宋" w:eastAsia="仿宋" w:cs="仿宋"/>
          <w:color w:val="auto"/>
          <w:sz w:val="24"/>
        </w:rPr>
        <w:t>2.3 炼钢厂、检验检测中心办公楼前路段，路面混凝土板块松动路基翻浆，沥青混凝土面层破损区域局部维修。</w:t>
      </w:r>
    </w:p>
    <w:p>
      <w:pPr>
        <w:spacing w:line="400" w:lineRule="exact"/>
        <w:ind w:left="987" w:leftChars="171" w:hanging="628" w:hangingChars="262"/>
        <w:rPr>
          <w:rFonts w:hint="eastAsia" w:ascii="仿宋" w:hAnsi="仿宋" w:eastAsia="仿宋" w:cs="仿宋"/>
          <w:color w:val="auto"/>
          <w:sz w:val="24"/>
        </w:rPr>
      </w:pPr>
      <w:r>
        <w:rPr>
          <w:rFonts w:hint="eastAsia" w:ascii="仿宋" w:hAnsi="仿宋" w:eastAsia="仿宋" w:cs="仿宋"/>
          <w:color w:val="auto"/>
          <w:sz w:val="24"/>
        </w:rPr>
        <w:t>2.4 原76厂房西路段、西办公楼南路段，路面混凝土板块松动路基翻浆，沥青混凝土面层破损区域局部维修。</w:t>
      </w:r>
    </w:p>
    <w:p>
      <w:pPr>
        <w:pStyle w:val="21"/>
        <w:spacing w:line="400" w:lineRule="exact"/>
        <w:ind w:left="609" w:leftChars="290" w:firstLine="105" w:firstLineChars="50"/>
        <w:jc w:val="both"/>
        <w:rPr>
          <w:rFonts w:hint="eastAsia" w:ascii="仿宋" w:hAnsi="仿宋" w:eastAsia="仿宋" w:cs="仿宋"/>
          <w:color w:val="auto"/>
          <w:szCs w:val="24"/>
        </w:rPr>
      </w:pPr>
      <w:r>
        <w:rPr>
          <w:rFonts w:hint="eastAsia" w:ascii="仿宋" w:hAnsi="仿宋" w:eastAsia="仿宋" w:cs="仿宋"/>
          <w:color w:val="auto"/>
          <w:szCs w:val="24"/>
        </w:rPr>
        <w:t>以上为主要工程内容，具体详细的工程内容、数量详见技术要求规格书、工程量清单，</w:t>
      </w:r>
      <w:r>
        <w:rPr>
          <w:rFonts w:hint="eastAsia" w:ascii="仿宋" w:hAnsi="仿宋" w:eastAsia="仿宋" w:cs="仿宋"/>
          <w:bCs/>
          <w:color w:val="auto"/>
          <w:szCs w:val="24"/>
        </w:rPr>
        <w:t>本次招标为清单单价招标</w:t>
      </w:r>
      <w:r>
        <w:rPr>
          <w:rFonts w:hint="eastAsia" w:ascii="仿宋" w:hAnsi="仿宋" w:eastAsia="仿宋" w:cs="仿宋"/>
          <w:color w:val="auto"/>
          <w:szCs w:val="24"/>
        </w:rPr>
        <w:t>。</w:t>
      </w:r>
    </w:p>
    <w:p>
      <w:pPr>
        <w:spacing w:line="4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施工地点：衡阳华菱钢管有限公司厂区内</w:t>
      </w:r>
    </w:p>
    <w:p>
      <w:pPr>
        <w:numPr>
          <w:ilvl w:val="0"/>
          <w:numId w:val="0"/>
        </w:numPr>
        <w:tabs>
          <w:tab w:val="left" w:pos="378"/>
        </w:tabs>
        <w:spacing w:line="400" w:lineRule="exact"/>
        <w:ind w:left="1" w:leftChars="0" w:firstLine="480" w:firstLineChars="200"/>
        <w:rPr>
          <w:rFonts w:hint="eastAsia" w:ascii="仿宋" w:hAnsi="仿宋" w:eastAsia="仿宋" w:cs="仿宋"/>
          <w:color w:val="auto"/>
          <w:sz w:val="24"/>
        </w:rPr>
      </w:pPr>
      <w:r>
        <w:rPr>
          <w:rFonts w:hint="eastAsia" w:ascii="仿宋" w:hAnsi="仿宋" w:eastAsia="仿宋" w:cs="仿宋"/>
          <w:color w:val="auto"/>
          <w:sz w:val="24"/>
        </w:rPr>
        <w:t>工期：21天（含养护期）</w:t>
      </w:r>
    </w:p>
    <w:p>
      <w:pPr>
        <w:spacing w:line="400" w:lineRule="exact"/>
        <w:ind w:firstLine="360" w:firstLineChars="150"/>
        <w:rPr>
          <w:rFonts w:hint="eastAsia" w:ascii="仿宋" w:hAnsi="仿宋" w:eastAsia="仿宋" w:cs="仿宋"/>
          <w:color w:val="auto"/>
          <w:sz w:val="24"/>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3.1   </w:t>
      </w:r>
      <w:r>
        <w:rPr>
          <w:rFonts w:hint="eastAsia" w:ascii="仿宋" w:hAnsi="仿宋" w:eastAsia="仿宋" w:cs="仿宋"/>
          <w:color w:val="auto"/>
          <w:sz w:val="24"/>
        </w:rPr>
        <w:t>具有中华人民共和国独立法人资格的企业，依法取得营业执照，企业注册资本金人民币1000万元及以上，注册时间三年及以上，具有履行合同的财务、技术、施工和服务能力。</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3.2   </w:t>
      </w:r>
      <w:r>
        <w:rPr>
          <w:rFonts w:hint="eastAsia" w:ascii="仿宋" w:hAnsi="仿宋" w:eastAsia="仿宋" w:cs="仿宋"/>
          <w:color w:val="auto"/>
          <w:sz w:val="24"/>
        </w:rPr>
        <w:t>遵守国家法律、行政法规，具有良好的商业信誉，未被工商行政管理机关在全国企业信用信息公示系统中列入严重违法失信企业名单。</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3.3  </w:t>
      </w:r>
      <w:r>
        <w:rPr>
          <w:rFonts w:hint="eastAsia" w:ascii="仿宋" w:hAnsi="仿宋" w:eastAsia="仿宋" w:cs="仿宋"/>
          <w:color w:val="auto"/>
          <w:sz w:val="24"/>
        </w:rPr>
        <w:t>投标人财务状况良好，没有处于资产被接管或冻结状态。未被法院在“信用中国”网站（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"http://www.creditchian.gov.cn" </w:instrText>
      </w:r>
      <w:r>
        <w:rPr>
          <w:rFonts w:hint="eastAsia" w:ascii="仿宋" w:hAnsi="仿宋" w:eastAsia="仿宋" w:cs="仿宋"/>
          <w:color w:val="auto"/>
          <w:sz w:val="24"/>
        </w:rPr>
        <w:fldChar w:fldCharType="separate"/>
      </w:r>
      <w:r>
        <w:rPr>
          <w:rFonts w:hint="eastAsia" w:ascii="仿宋" w:hAnsi="仿宋" w:eastAsia="仿宋" w:cs="仿宋"/>
          <w:color w:val="auto"/>
          <w:sz w:val="24"/>
        </w:rPr>
        <w:t>www.creditchian.gov.cn</w:t>
      </w:r>
      <w:r>
        <w:rPr>
          <w:rFonts w:hint="eastAsia" w:ascii="仿宋" w:hAnsi="仿宋" w:eastAsia="仿宋" w:cs="仿宋"/>
          <w:color w:val="auto"/>
          <w:sz w:val="24"/>
        </w:rPr>
        <w:fldChar w:fldCharType="end"/>
      </w:r>
      <w:r>
        <w:rPr>
          <w:rFonts w:hint="eastAsia" w:ascii="仿宋" w:hAnsi="仿宋" w:eastAsia="仿宋" w:cs="仿宋"/>
          <w:color w:val="auto"/>
          <w:sz w:val="24"/>
        </w:rPr>
        <w:t>）或公共信用平台列入失信名单。</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3.3  </w:t>
      </w:r>
      <w:r>
        <w:rPr>
          <w:rFonts w:hint="eastAsia" w:ascii="仿宋" w:hAnsi="仿宋" w:eastAsia="仿宋" w:cs="仿宋"/>
          <w:color w:val="auto"/>
          <w:sz w:val="24"/>
        </w:rPr>
        <w:t>投标人须为具有公路工程或建筑工程施工总承包三级及以上资质的法人企业，项目经理须具有二级建造师及以上执业资格证书，技术负责人具有中级及以上职称</w:t>
      </w:r>
      <w:r>
        <w:rPr>
          <w:rFonts w:hint="eastAsia" w:ascii="仿宋" w:hAnsi="仿宋" w:eastAsia="仿宋" w:cs="仿宋"/>
          <w:b/>
          <w:color w:val="auto"/>
          <w:sz w:val="24"/>
        </w:rPr>
        <w:t>（须提供企业资质、人员证书、社保证明复印件）。</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3.4  </w:t>
      </w:r>
      <w:r>
        <w:rPr>
          <w:rFonts w:hint="eastAsia" w:ascii="仿宋" w:hAnsi="仿宋" w:eastAsia="仿宋" w:cs="仿宋"/>
          <w:color w:val="auto"/>
          <w:sz w:val="24"/>
        </w:rPr>
        <w:t>项目经理、技术负责人近三年内有类似工程经验，须提供相关业绩证明文件</w:t>
      </w:r>
      <w:r>
        <w:rPr>
          <w:rFonts w:hint="eastAsia" w:ascii="仿宋" w:hAnsi="仿宋" w:eastAsia="仿宋" w:cs="仿宋"/>
          <w:b/>
          <w:color w:val="auto"/>
          <w:sz w:val="24"/>
        </w:rPr>
        <w:t>（须提供合同复印件）。</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3.5  </w:t>
      </w:r>
      <w:r>
        <w:rPr>
          <w:rFonts w:hint="eastAsia" w:ascii="仿宋" w:hAnsi="仿宋" w:eastAsia="仿宋" w:cs="仿宋"/>
          <w:color w:val="auto"/>
          <w:sz w:val="24"/>
        </w:rPr>
        <w:t>本工程参与投标的项目经理和技术负责人必须亲自对本工程进行全过程管理，未经招标人许可，不得更换易人，否则作违约处理。</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3.6  </w:t>
      </w:r>
      <w:r>
        <w:rPr>
          <w:rFonts w:hint="eastAsia" w:ascii="仿宋" w:hAnsi="仿宋" w:eastAsia="仿宋" w:cs="仿宋"/>
          <w:color w:val="auto"/>
          <w:sz w:val="24"/>
        </w:rPr>
        <w:t>本招标项目不接受列入湖南华菱钢铁集团有限责任公司及其分（子）公司供应商黑名单，或衡阳华菱钢管（连轧管）有限公司供应商资格暂停、取消、淘汰期间的单位或个人投标。</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3.7  </w:t>
      </w:r>
      <w:r>
        <w:rPr>
          <w:rFonts w:hint="eastAsia" w:ascii="仿宋" w:hAnsi="仿宋" w:eastAsia="仿宋" w:cs="仿宋"/>
          <w:color w:val="auto"/>
          <w:sz w:val="24"/>
        </w:rPr>
        <w:t>本工程不接受联合体投标。</w:t>
      </w: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请各投标人自行在衡阳华菱钢管有限公司网站（http://www.hysteeltube.com/zbgg）下载招标文件、工程量清单、技术附件等。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2022年2月1</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日上午9:30</w:t>
      </w:r>
      <w:r>
        <w:rPr>
          <w:rFonts w:hint="eastAsia" w:ascii="仿宋" w:hAnsi="仿宋" w:eastAsia="仿宋" w:cs="仿宋"/>
          <w:b/>
          <w:color w:val="auto"/>
          <w:sz w:val="24"/>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1"/>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0677994"/>
      <w:bookmarkStart w:id="5" w:name="_Toc303864862"/>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1"/>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pStyle w:val="101"/>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项目联系人：熊先生</w:t>
      </w:r>
    </w:p>
    <w:p>
      <w:pPr>
        <w:pStyle w:val="101"/>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电话：（0734）8872820           手机：18684587597</w:t>
      </w:r>
    </w:p>
    <w:p>
      <w:pPr>
        <w:pStyle w:val="101"/>
        <w:spacing w:line="360" w:lineRule="exact"/>
        <w:ind w:left="851" w:firstLine="0" w:firstLineChars="0"/>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rPr>
        <w:t>设备工程部</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napToGrid w:val="0"/>
        <w:spacing w:line="400" w:lineRule="exact"/>
        <w:rPr>
          <w:rFonts w:hint="eastAsia" w:ascii="仿宋" w:hAnsi="仿宋" w:eastAsia="仿宋" w:cs="仿宋"/>
          <w:color w:val="auto"/>
          <w:sz w:val="24"/>
        </w:rPr>
      </w:pPr>
    </w:p>
    <w:bookmarkEnd w:id="6"/>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3875C4"/>
    <w:rsid w:val="0B4F3F22"/>
    <w:rsid w:val="0CD05ED7"/>
    <w:rsid w:val="10AC314E"/>
    <w:rsid w:val="12BF6B65"/>
    <w:rsid w:val="1441159B"/>
    <w:rsid w:val="2383679E"/>
    <w:rsid w:val="282703A7"/>
    <w:rsid w:val="28521B22"/>
    <w:rsid w:val="294D62E9"/>
    <w:rsid w:val="2A38665B"/>
    <w:rsid w:val="2FBB77D7"/>
    <w:rsid w:val="30B5736D"/>
    <w:rsid w:val="34134919"/>
    <w:rsid w:val="35A51CEA"/>
    <w:rsid w:val="36C43945"/>
    <w:rsid w:val="3AD460E8"/>
    <w:rsid w:val="43C25D36"/>
    <w:rsid w:val="49A92747"/>
    <w:rsid w:val="4B623575"/>
    <w:rsid w:val="4CD76635"/>
    <w:rsid w:val="4D49610B"/>
    <w:rsid w:val="4F8C3D25"/>
    <w:rsid w:val="53133409"/>
    <w:rsid w:val="6D3241C0"/>
    <w:rsid w:val="74B269EF"/>
    <w:rsid w:val="75FF2BC2"/>
    <w:rsid w:val="760012F7"/>
    <w:rsid w:val="76252B1F"/>
    <w:rsid w:val="77505335"/>
    <w:rsid w:val="789B7812"/>
    <w:rsid w:val="7C155B68"/>
    <w:rsid w:val="7C6D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3</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2022-02-10T01:26:08Z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