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Theme="minorEastAsia" w:hAnsiTheme="minorEastAsia" w:eastAsiaTheme="minorEastAsia"/>
          <w:szCs w:val="32"/>
        </w:rPr>
      </w:pPr>
      <w:bookmarkStart w:id="0" w:name="_Toc7705"/>
      <w:r>
        <w:rPr>
          <w:rFonts w:hint="eastAsia" w:asciiTheme="minorEastAsia" w:hAnsiTheme="minorEastAsia" w:eastAsiaTheme="minorEastAsia"/>
          <w:szCs w:val="32"/>
        </w:rPr>
        <w:t>招标公告</w:t>
      </w:r>
      <w:bookmarkEnd w:id="0"/>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项目概况</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项目编号：HGCGD22012</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项目名称：2022年2月铁水罐车车轮对采购项目</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招标货物名称、数量、主要技术参数、交货时间具体详见采购清单：</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Theme="minorEastAsia" w:hAnsiTheme="minorEastAsia" w:eastAsiaTheme="minorEastAsia"/>
          <w:sz w:val="28"/>
          <w:szCs w:val="28"/>
        </w:rPr>
      </w:pPr>
      <w:r>
        <w:rPr>
          <w:rFonts w:hint="eastAsia" w:asciiTheme="minorEastAsia" w:hAnsiTheme="minorEastAsia" w:eastAsiaTheme="minorEastAsia"/>
          <w:sz w:val="28"/>
          <w:szCs w:val="28"/>
        </w:rPr>
        <w:t>采购清单：</w:t>
      </w:r>
    </w:p>
    <w:tbl>
      <w:tblPr>
        <w:tblStyle w:val="37"/>
        <w:tblW w:w="9651" w:type="dxa"/>
        <w:tblInd w:w="96" w:type="dxa"/>
        <w:tblLayout w:type="fixed"/>
        <w:tblCellMar>
          <w:top w:w="0" w:type="dxa"/>
          <w:left w:w="108" w:type="dxa"/>
          <w:bottom w:w="0" w:type="dxa"/>
          <w:right w:w="108" w:type="dxa"/>
        </w:tblCellMar>
      </w:tblPr>
      <w:tblGrid>
        <w:gridCol w:w="439"/>
        <w:gridCol w:w="1219"/>
        <w:gridCol w:w="1331"/>
        <w:gridCol w:w="1134"/>
        <w:gridCol w:w="709"/>
        <w:gridCol w:w="709"/>
        <w:gridCol w:w="850"/>
        <w:gridCol w:w="1068"/>
        <w:gridCol w:w="1058"/>
        <w:gridCol w:w="1134"/>
      </w:tblGrid>
      <w:tr>
        <w:tblPrEx>
          <w:tblLayout w:type="fixed"/>
          <w:tblCellMar>
            <w:top w:w="0" w:type="dxa"/>
            <w:left w:w="108" w:type="dxa"/>
            <w:bottom w:w="0" w:type="dxa"/>
            <w:right w:w="108" w:type="dxa"/>
          </w:tblCellMar>
        </w:tblPrEx>
        <w:trPr>
          <w:trHeight w:val="456" w:hRule="atLeast"/>
        </w:trPr>
        <w:tc>
          <w:tcPr>
            <w:tcW w:w="4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序号</w:t>
            </w:r>
          </w:p>
        </w:tc>
        <w:tc>
          <w:tcPr>
            <w:tcW w:w="121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资材编号</w:t>
            </w:r>
          </w:p>
        </w:tc>
        <w:tc>
          <w:tcPr>
            <w:tcW w:w="133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资材名称</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规格描述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技术参数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单位</w:t>
            </w:r>
          </w:p>
        </w:tc>
        <w:tc>
          <w:tcPr>
            <w:tcW w:w="85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数量</w:t>
            </w:r>
          </w:p>
        </w:tc>
        <w:tc>
          <w:tcPr>
            <w:tcW w:w="106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执行标准</w:t>
            </w:r>
          </w:p>
        </w:tc>
        <w:tc>
          <w:tcPr>
            <w:tcW w:w="105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申请部门</w:t>
            </w:r>
          </w:p>
        </w:tc>
        <w:tc>
          <w:tcPr>
            <w:tcW w:w="113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仿宋" w:hAnsi="仿宋" w:eastAsia="仿宋" w:cs="宋体"/>
                <w:kern w:val="0"/>
                <w:sz w:val="18"/>
                <w:szCs w:val="18"/>
              </w:rPr>
            </w:pPr>
            <w:r>
              <w:rPr>
                <w:rFonts w:hint="eastAsia" w:ascii="仿宋" w:hAnsi="仿宋" w:eastAsia="仿宋" w:cs="宋体"/>
                <w:kern w:val="0"/>
                <w:sz w:val="18"/>
                <w:szCs w:val="18"/>
              </w:rPr>
              <w:t>交货期</w:t>
            </w:r>
          </w:p>
        </w:tc>
      </w:tr>
      <w:tr>
        <w:tblPrEx>
          <w:tblLayout w:type="fixed"/>
          <w:tblCellMar>
            <w:top w:w="0" w:type="dxa"/>
            <w:left w:w="108" w:type="dxa"/>
            <w:bottom w:w="0" w:type="dxa"/>
            <w:right w:w="108" w:type="dxa"/>
          </w:tblCellMar>
        </w:tblPrEx>
        <w:trPr>
          <w:trHeight w:val="792" w:hRule="atLeast"/>
        </w:trPr>
        <w:tc>
          <w:tcPr>
            <w:tcW w:w="43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仿宋" w:hAnsi="仿宋" w:eastAsia="仿宋" w:cs="宋体"/>
                <w:color w:val="000000"/>
                <w:kern w:val="0"/>
                <w:sz w:val="18"/>
                <w:szCs w:val="18"/>
              </w:rPr>
            </w:pPr>
            <w:r>
              <w:rPr>
                <w:rFonts w:hint="eastAsia" w:ascii="仿宋" w:hAnsi="仿宋" w:eastAsia="仿宋" w:cs="宋体"/>
                <w:color w:val="000000"/>
                <w:kern w:val="0"/>
                <w:sz w:val="18"/>
                <w:szCs w:val="18"/>
              </w:rPr>
              <w:t xml:space="preserve">1 </w:t>
            </w:r>
          </w:p>
        </w:tc>
        <w:tc>
          <w:tcPr>
            <w:tcW w:w="1219" w:type="dxa"/>
            <w:tcBorders>
              <w:top w:val="single" w:color="333333" w:sz="4" w:space="0"/>
              <w:left w:val="single" w:color="333333" w:sz="4" w:space="0"/>
              <w:bottom w:val="single" w:color="333333" w:sz="4" w:space="0"/>
              <w:right w:val="single" w:color="333333" w:sz="4" w:space="0"/>
            </w:tcBorders>
            <w:shd w:val="clear" w:color="auto" w:fill="auto"/>
            <w:vAlign w:val="center"/>
          </w:tcPr>
          <w:p>
            <w:pPr>
              <w:widowControl/>
              <w:jc w:val="left"/>
              <w:rPr>
                <w:rFonts w:ascii="Tahoma" w:hAnsi="Tahoma" w:cs="Tahoma"/>
                <w:color w:val="000000"/>
                <w:kern w:val="0"/>
                <w:sz w:val="18"/>
                <w:szCs w:val="18"/>
              </w:rPr>
            </w:pPr>
            <w:r>
              <w:rPr>
                <w:rFonts w:ascii="Tahoma" w:hAnsi="Tahoma" w:cs="Tahoma"/>
                <w:color w:val="000000"/>
                <w:kern w:val="0"/>
                <w:sz w:val="18"/>
                <w:szCs w:val="18"/>
              </w:rPr>
              <w:t>5300700001</w:t>
            </w:r>
          </w:p>
        </w:tc>
        <w:tc>
          <w:tcPr>
            <w:tcW w:w="1331" w:type="dxa"/>
            <w:tcBorders>
              <w:top w:val="single" w:color="333333" w:sz="4" w:space="0"/>
              <w:left w:val="nil"/>
              <w:bottom w:val="single" w:color="333333" w:sz="4" w:space="0"/>
              <w:right w:val="single" w:color="333333" w:sz="4" w:space="0"/>
            </w:tcBorders>
            <w:shd w:val="clear" w:color="auto" w:fill="auto"/>
            <w:vAlign w:val="center"/>
          </w:tcPr>
          <w:p>
            <w:pPr>
              <w:widowControl/>
              <w:jc w:val="left"/>
              <w:rPr>
                <w:rFonts w:ascii="Tahoma" w:hAnsi="Tahoma" w:cs="Tahoma"/>
                <w:color w:val="000000"/>
                <w:kern w:val="0"/>
                <w:sz w:val="18"/>
                <w:szCs w:val="18"/>
              </w:rPr>
            </w:pPr>
            <w:r>
              <w:rPr>
                <w:rFonts w:ascii="Tahoma" w:hAnsi="Tahoma" w:cs="Tahoma"/>
                <w:color w:val="000000"/>
                <w:kern w:val="0"/>
                <w:sz w:val="18"/>
                <w:szCs w:val="18"/>
              </w:rPr>
              <w:t>120t铁水罐车 车轮对</w:t>
            </w:r>
          </w:p>
        </w:tc>
        <w:tc>
          <w:tcPr>
            <w:tcW w:w="1134" w:type="dxa"/>
            <w:tcBorders>
              <w:top w:val="single" w:color="333333" w:sz="4" w:space="0"/>
              <w:left w:val="nil"/>
              <w:bottom w:val="single" w:color="333333" w:sz="4" w:space="0"/>
              <w:right w:val="single" w:color="333333" w:sz="4" w:space="0"/>
            </w:tcBorders>
            <w:shd w:val="clear" w:color="auto" w:fill="auto"/>
            <w:vAlign w:val="center"/>
          </w:tcPr>
          <w:p>
            <w:pPr>
              <w:widowControl/>
              <w:jc w:val="left"/>
              <w:rPr>
                <w:rFonts w:ascii="Tahoma" w:hAnsi="Tahoma" w:cs="Tahoma"/>
                <w:color w:val="000000"/>
                <w:kern w:val="0"/>
                <w:sz w:val="18"/>
                <w:szCs w:val="18"/>
              </w:rPr>
            </w:pPr>
            <w:r>
              <w:rPr>
                <w:rFonts w:ascii="Tahoma" w:hAnsi="Tahoma" w:cs="Tahoma"/>
                <w:color w:val="000000"/>
                <w:kern w:val="0"/>
                <w:sz w:val="18"/>
                <w:szCs w:val="18"/>
              </w:rPr>
              <w:t>带轴箱</w:t>
            </w:r>
          </w:p>
        </w:tc>
        <w:tc>
          <w:tcPr>
            <w:tcW w:w="709" w:type="dxa"/>
            <w:tcBorders>
              <w:top w:val="single" w:color="333333" w:sz="4" w:space="0"/>
              <w:left w:val="nil"/>
              <w:bottom w:val="single" w:color="333333" w:sz="4" w:space="0"/>
              <w:right w:val="single" w:color="333333" w:sz="4" w:space="0"/>
            </w:tcBorders>
            <w:shd w:val="clear" w:color="auto" w:fill="auto"/>
            <w:vAlign w:val="center"/>
          </w:tcPr>
          <w:p>
            <w:pPr>
              <w:widowControl/>
              <w:jc w:val="left"/>
              <w:rPr>
                <w:rFonts w:ascii="Tahoma" w:hAnsi="Tahoma" w:cs="Tahoma"/>
                <w:color w:val="000000"/>
                <w:kern w:val="0"/>
                <w:sz w:val="18"/>
                <w:szCs w:val="18"/>
              </w:rPr>
            </w:pPr>
            <w:r>
              <w:rPr>
                <w:rFonts w:ascii="Tahoma" w:hAnsi="Tahoma" w:cs="Tahoma"/>
                <w:color w:val="000000"/>
                <w:kern w:val="0"/>
                <w:sz w:val="18"/>
                <w:szCs w:val="18"/>
              </w:rPr>
              <w:t>　</w:t>
            </w:r>
          </w:p>
        </w:tc>
        <w:tc>
          <w:tcPr>
            <w:tcW w:w="709" w:type="dxa"/>
            <w:tcBorders>
              <w:top w:val="single" w:color="333333" w:sz="4" w:space="0"/>
              <w:left w:val="nil"/>
              <w:bottom w:val="single" w:color="333333" w:sz="4" w:space="0"/>
              <w:right w:val="single" w:color="333333" w:sz="4" w:space="0"/>
            </w:tcBorders>
            <w:shd w:val="clear" w:color="auto" w:fill="auto"/>
            <w:vAlign w:val="center"/>
          </w:tcPr>
          <w:p>
            <w:pPr>
              <w:widowControl/>
              <w:jc w:val="center"/>
              <w:rPr>
                <w:rFonts w:ascii="Tahoma" w:hAnsi="Tahoma" w:cs="Tahoma"/>
                <w:color w:val="000000"/>
                <w:kern w:val="0"/>
                <w:sz w:val="18"/>
                <w:szCs w:val="18"/>
              </w:rPr>
            </w:pPr>
            <w:r>
              <w:rPr>
                <w:rFonts w:ascii="Tahoma" w:hAnsi="Tahoma" w:cs="Tahoma"/>
                <w:color w:val="000000"/>
                <w:kern w:val="0"/>
                <w:sz w:val="18"/>
                <w:szCs w:val="18"/>
              </w:rPr>
              <w:t>套</w:t>
            </w:r>
          </w:p>
        </w:tc>
        <w:tc>
          <w:tcPr>
            <w:tcW w:w="850" w:type="dxa"/>
            <w:tcBorders>
              <w:top w:val="single" w:color="333333" w:sz="4" w:space="0"/>
              <w:left w:val="nil"/>
              <w:bottom w:val="single" w:color="333333" w:sz="4" w:space="0"/>
              <w:right w:val="single" w:color="333333" w:sz="4" w:space="0"/>
            </w:tcBorders>
            <w:shd w:val="clear" w:color="auto" w:fill="auto"/>
            <w:vAlign w:val="center"/>
          </w:tcPr>
          <w:p>
            <w:pPr>
              <w:widowControl/>
              <w:jc w:val="center"/>
              <w:rPr>
                <w:rFonts w:ascii="Tahoma" w:hAnsi="Tahoma" w:cs="Tahoma"/>
                <w:color w:val="000000"/>
                <w:kern w:val="0"/>
                <w:sz w:val="18"/>
                <w:szCs w:val="18"/>
              </w:rPr>
            </w:pPr>
            <w:r>
              <w:rPr>
                <w:rFonts w:ascii="Tahoma" w:hAnsi="Tahoma" w:cs="Tahoma"/>
                <w:color w:val="000000"/>
                <w:kern w:val="0"/>
                <w:sz w:val="18"/>
                <w:szCs w:val="18"/>
              </w:rPr>
              <w:t>16</w:t>
            </w:r>
          </w:p>
        </w:tc>
        <w:tc>
          <w:tcPr>
            <w:tcW w:w="1068" w:type="dxa"/>
            <w:tcBorders>
              <w:top w:val="single" w:color="333333" w:sz="4" w:space="0"/>
              <w:left w:val="nil"/>
              <w:bottom w:val="single" w:color="333333" w:sz="4" w:space="0"/>
              <w:right w:val="single" w:color="333333" w:sz="4" w:space="0"/>
            </w:tcBorders>
            <w:shd w:val="clear" w:color="auto" w:fill="auto"/>
            <w:vAlign w:val="center"/>
          </w:tcPr>
          <w:p>
            <w:pPr>
              <w:widowControl/>
              <w:jc w:val="left"/>
              <w:rPr>
                <w:rFonts w:ascii="Tahoma" w:hAnsi="Tahoma" w:cs="Tahoma"/>
                <w:color w:val="000000"/>
                <w:kern w:val="0"/>
                <w:sz w:val="18"/>
                <w:szCs w:val="18"/>
              </w:rPr>
            </w:pPr>
            <w:r>
              <w:rPr>
                <w:rFonts w:ascii="Tahoma" w:hAnsi="Tahoma" w:cs="Tahoma"/>
                <w:color w:val="000000"/>
                <w:kern w:val="0"/>
                <w:sz w:val="18"/>
                <w:szCs w:val="18"/>
              </w:rPr>
              <w:t>TB/T 1463-2015</w:t>
            </w:r>
          </w:p>
        </w:tc>
        <w:tc>
          <w:tcPr>
            <w:tcW w:w="1058" w:type="dxa"/>
            <w:tcBorders>
              <w:top w:val="single" w:color="333333" w:sz="4" w:space="0"/>
              <w:left w:val="nil"/>
              <w:bottom w:val="single" w:color="333333" w:sz="4" w:space="0"/>
              <w:right w:val="single" w:color="333333" w:sz="4" w:space="0"/>
            </w:tcBorders>
            <w:shd w:val="clear" w:color="auto" w:fill="auto"/>
            <w:vAlign w:val="center"/>
          </w:tcPr>
          <w:p>
            <w:pPr>
              <w:widowControl/>
              <w:jc w:val="left"/>
              <w:rPr>
                <w:rFonts w:ascii="Tahoma" w:hAnsi="Tahoma" w:cs="Tahoma"/>
                <w:color w:val="000000"/>
                <w:kern w:val="0"/>
                <w:sz w:val="18"/>
                <w:szCs w:val="18"/>
              </w:rPr>
            </w:pPr>
            <w:r>
              <w:rPr>
                <w:rFonts w:ascii="Tahoma" w:hAnsi="Tahoma" w:cs="Tahoma"/>
                <w:color w:val="000000"/>
                <w:kern w:val="0"/>
                <w:sz w:val="18"/>
                <w:szCs w:val="18"/>
              </w:rPr>
              <w:t>物流中心</w:t>
            </w:r>
          </w:p>
        </w:tc>
        <w:tc>
          <w:tcPr>
            <w:tcW w:w="1134" w:type="dxa"/>
            <w:tcBorders>
              <w:top w:val="single" w:color="333333" w:sz="4" w:space="0"/>
              <w:left w:val="nil"/>
              <w:bottom w:val="single" w:color="333333" w:sz="4" w:space="0"/>
              <w:right w:val="single" w:color="333333" w:sz="4" w:space="0"/>
            </w:tcBorders>
            <w:shd w:val="clear" w:color="auto" w:fill="auto"/>
            <w:vAlign w:val="center"/>
          </w:tcPr>
          <w:p>
            <w:pPr>
              <w:widowControl/>
              <w:jc w:val="left"/>
              <w:rPr>
                <w:rFonts w:ascii="Tahoma" w:hAnsi="Tahoma" w:cs="Tahoma"/>
                <w:color w:val="000000"/>
                <w:kern w:val="0"/>
                <w:sz w:val="18"/>
                <w:szCs w:val="18"/>
              </w:rPr>
            </w:pPr>
            <w:r>
              <w:rPr>
                <w:rFonts w:ascii="Tahoma" w:hAnsi="Tahoma" w:cs="Tahoma"/>
                <w:color w:val="000000"/>
                <w:kern w:val="0"/>
                <w:sz w:val="18"/>
                <w:szCs w:val="18"/>
              </w:rPr>
              <w:t>2022-03-30</w:t>
            </w:r>
          </w:p>
        </w:tc>
      </w:tr>
    </w:tbl>
    <w:p>
      <w:pPr>
        <w:pStyle w:val="101"/>
        <w:adjustRightInd w:val="0"/>
        <w:snapToGrid w:val="0"/>
        <w:spacing w:line="360" w:lineRule="exact"/>
        <w:ind w:firstLine="0" w:firstLineChars="0"/>
        <w:rPr>
          <w:rFonts w:asciiTheme="minorEastAsia" w:hAnsiTheme="minorEastAsia" w:eastAsiaTheme="minorEastAsia"/>
          <w:sz w:val="28"/>
          <w:szCs w:val="28"/>
        </w:rPr>
      </w:pPr>
    </w:p>
    <w:p>
      <w:pPr>
        <w:pStyle w:val="101"/>
        <w:numPr>
          <w:ilvl w:val="0"/>
          <w:numId w:val="1"/>
        </w:numPr>
        <w:adjustRightInd w:val="0"/>
        <w:snapToGrid w:val="0"/>
        <w:spacing w:line="360" w:lineRule="exact"/>
        <w:ind w:left="2582" w:hanging="2582"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投标人资格要求</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注册资金200万元及以上，成立时间一年及以上，具有独立法人资格并依法取得企业营业执照.</w:t>
      </w:r>
      <w:r>
        <w:rPr>
          <w:rFonts w:asciiTheme="minorEastAsia" w:hAnsiTheme="minorEastAsia" w:eastAsiaTheme="minorEastAsia"/>
          <w:sz w:val="28"/>
          <w:szCs w:val="28"/>
        </w:rPr>
        <w:t xml:space="preserve">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信誉要求：</w:t>
      </w:r>
      <w:r>
        <w:rPr>
          <w:rFonts w:asciiTheme="minorEastAsia" w:hAnsiTheme="minorEastAsia" w:eastAsiaTheme="minorEastAsia"/>
          <w:sz w:val="28"/>
          <w:szCs w:val="28"/>
        </w:rPr>
        <w:t>具有良好的</w:t>
      </w:r>
      <w:r>
        <w:fldChar w:fldCharType="begin"/>
      </w:r>
      <w:r>
        <w:instrText xml:space="preserve"> HYPERLINK "https://wenwen.sogou.com/s/?w=%E5%95%86%E4%B8%9A%E4%BF%A1%E8%AA%89&amp;ch=ww.xqy.chain" \t "_blank" </w:instrText>
      </w:r>
      <w:r>
        <w:fldChar w:fldCharType="separate"/>
      </w:r>
      <w:r>
        <w:rPr>
          <w:rFonts w:asciiTheme="minorEastAsia" w:hAnsiTheme="minorEastAsia" w:eastAsiaTheme="minorEastAsia"/>
          <w:sz w:val="28"/>
          <w:szCs w:val="28"/>
        </w:rPr>
        <w:t>商业信誉</w:t>
      </w:r>
      <w:r>
        <w:rPr>
          <w:rFonts w:asciiTheme="minorEastAsia" w:hAnsiTheme="minorEastAsia" w:eastAsiaTheme="minorEastAsia"/>
          <w:sz w:val="28"/>
          <w:szCs w:val="28"/>
        </w:rPr>
        <w:fldChar w:fldCharType="end"/>
      </w:r>
      <w:r>
        <w:rPr>
          <w:rFonts w:hint="eastAsia" w:asciiTheme="minorEastAsia" w:hAnsiTheme="minorEastAsia" w:eastAsiaTheme="minorEastAsia"/>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法律、行政法规规定的其他资格条件</w:t>
      </w:r>
      <w:r>
        <w:rPr>
          <w:rFonts w:hint="eastAsia" w:asciiTheme="minorEastAsia" w:hAnsiTheme="minorEastAsia" w:eastAsiaTheme="minorEastAsia"/>
          <w:sz w:val="28"/>
          <w:szCs w:val="28"/>
        </w:rPr>
        <w:t>。</w:t>
      </w:r>
    </w:p>
    <w:p>
      <w:pPr>
        <w:pStyle w:val="101"/>
        <w:numPr>
          <w:ilvl w:val="0"/>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本项目不接受列入</w:t>
      </w:r>
      <w:r>
        <w:rPr>
          <w:rFonts w:asciiTheme="minorEastAsia" w:hAnsiTheme="minorEastAsia" w:eastAsiaTheme="minorEastAsia"/>
          <w:sz w:val="28"/>
          <w:szCs w:val="28"/>
        </w:rPr>
        <w:t>湖南华菱钢铁集团有限责任公司</w:t>
      </w:r>
      <w:r>
        <w:rPr>
          <w:rFonts w:hint="eastAsia" w:asciiTheme="minorEastAsia" w:hAnsiTheme="minorEastAsia" w:eastAsiaTheme="minorEastAsia"/>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招标文件获取</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请各投标人自行在衡阳华菱钢管有限公司网站（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asciiTheme="minorEastAsia" w:hAnsiTheme="minorEastAsia" w:eastAsiaTheme="minorEastAsia"/>
          <w:sz w:val="28"/>
          <w:szCs w:val="28"/>
        </w:rPr>
        <w:t>招标文件售价</w:t>
      </w:r>
      <w:r>
        <w:rPr>
          <w:rFonts w:hint="eastAsia" w:asciiTheme="minorEastAsia" w:hAnsiTheme="minorEastAsia" w:eastAsiaTheme="minorEastAsia"/>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投标保证金</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投标保证金金额：</w:t>
      </w:r>
      <w:r>
        <w:rPr>
          <w:rFonts w:hint="eastAsia" w:asciiTheme="minorEastAsia" w:hAnsiTheme="minorEastAsia" w:eastAsiaTheme="minorEastAsia"/>
          <w:sz w:val="28"/>
          <w:szCs w:val="28"/>
          <w:u w:val="single"/>
        </w:rPr>
        <w:t>10000</w:t>
      </w:r>
      <w:r>
        <w:rPr>
          <w:rFonts w:asciiTheme="minorEastAsia" w:hAnsiTheme="minorEastAsia" w:eastAsiaTheme="minorEastAsia"/>
          <w:sz w:val="28"/>
          <w:szCs w:val="28"/>
        </w:rPr>
        <w:t>元人民币</w:t>
      </w:r>
      <w:r>
        <w:rPr>
          <w:rFonts w:hint="eastAsia" w:asciiTheme="minorEastAsia" w:hAnsiTheme="minorEastAsia" w:eastAsiaTheme="minorEastAsia"/>
          <w:sz w:val="28"/>
          <w:szCs w:val="28"/>
        </w:rPr>
        <w:t>。</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投标保证金缴纳方式：电汇、转账或投标单位在衡钢的应收款。</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开户行：</w:t>
      </w:r>
      <w:r>
        <w:rPr>
          <w:rFonts w:hint="eastAsia" w:asciiTheme="minorEastAsia" w:hAnsiTheme="minorEastAsia" w:eastAsiaTheme="minorEastAsia"/>
          <w:sz w:val="28"/>
          <w:szCs w:val="28"/>
        </w:rPr>
        <w:t xml:space="preserve">工行衡阳银雁支行    </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开户名：</w:t>
      </w:r>
      <w:r>
        <w:rPr>
          <w:rFonts w:hint="eastAsia" w:asciiTheme="minorEastAsia" w:hAnsiTheme="minorEastAsia" w:eastAsiaTheme="minorEastAsia"/>
          <w:sz w:val="28"/>
          <w:szCs w:val="28"/>
        </w:rPr>
        <w:t>衡阳华菱连轧管有限公司</w:t>
      </w:r>
    </w:p>
    <w:p>
      <w:pPr>
        <w:adjustRightInd w:val="0"/>
        <w:snapToGrid w:val="0"/>
        <w:spacing w:line="360" w:lineRule="exact"/>
        <w:ind w:left="850" w:leftChars="405"/>
        <w:contextualSpacing/>
        <w:rPr>
          <w:rFonts w:asciiTheme="minorEastAsia" w:hAnsiTheme="minorEastAsia" w:eastAsiaTheme="minorEastAsia"/>
          <w:sz w:val="28"/>
          <w:szCs w:val="28"/>
        </w:rPr>
      </w:pPr>
      <w:r>
        <w:rPr>
          <w:rFonts w:asciiTheme="minorEastAsia" w:hAnsiTheme="minorEastAsia" w:eastAsiaTheme="minorEastAsia"/>
          <w:sz w:val="28"/>
          <w:szCs w:val="28"/>
        </w:rPr>
        <w:t>帐  号：</w:t>
      </w:r>
      <w:r>
        <w:rPr>
          <w:rFonts w:hint="eastAsia" w:asciiTheme="minorEastAsia" w:hAnsiTheme="minorEastAsia" w:eastAsiaTheme="minorEastAsia"/>
          <w:sz w:val="28"/>
          <w:szCs w:val="28"/>
        </w:rPr>
        <w:t>1905022319020105051</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投标和开标</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投标文件递交截止时间及开标时间：</w:t>
      </w:r>
      <w:r>
        <w:rPr>
          <w:rFonts w:asciiTheme="minorEastAsia" w:hAnsiTheme="minorEastAsia" w:eastAsiaTheme="minorEastAsia"/>
          <w:b/>
          <w:sz w:val="28"/>
          <w:szCs w:val="28"/>
          <w:u w:val="single"/>
        </w:rPr>
        <w:t>20</w:t>
      </w:r>
      <w:r>
        <w:rPr>
          <w:rFonts w:hint="eastAsia" w:asciiTheme="minorEastAsia" w:hAnsiTheme="minorEastAsia" w:eastAsiaTheme="minorEastAsia"/>
          <w:b/>
          <w:sz w:val="28"/>
          <w:szCs w:val="28"/>
          <w:u w:val="single"/>
        </w:rPr>
        <w:t>22</w:t>
      </w:r>
      <w:r>
        <w:rPr>
          <w:rFonts w:asciiTheme="minorEastAsia" w:hAnsiTheme="minorEastAsia" w:eastAsiaTheme="minorEastAsia"/>
          <w:b/>
          <w:sz w:val="28"/>
          <w:szCs w:val="28"/>
          <w:u w:val="single"/>
        </w:rPr>
        <w:t>年</w:t>
      </w:r>
      <w:r>
        <w:rPr>
          <w:rFonts w:hint="eastAsia" w:asciiTheme="minorEastAsia" w:hAnsiTheme="minorEastAsia" w:eastAsiaTheme="minorEastAsia"/>
          <w:b/>
          <w:sz w:val="28"/>
          <w:szCs w:val="28"/>
          <w:u w:val="single"/>
        </w:rPr>
        <w:t>2</w:t>
      </w:r>
      <w:r>
        <w:rPr>
          <w:rFonts w:asciiTheme="minorEastAsia" w:hAnsiTheme="minorEastAsia" w:eastAsiaTheme="minorEastAsia"/>
          <w:b/>
          <w:sz w:val="28"/>
          <w:szCs w:val="28"/>
          <w:u w:val="single"/>
        </w:rPr>
        <w:t>月</w:t>
      </w:r>
      <w:r>
        <w:rPr>
          <w:rFonts w:hint="eastAsia" w:asciiTheme="minorEastAsia" w:hAnsiTheme="minorEastAsia" w:eastAsiaTheme="minorEastAsia"/>
          <w:b/>
          <w:sz w:val="28"/>
          <w:szCs w:val="28"/>
          <w:u w:val="single"/>
          <w:lang w:val="en-US" w:eastAsia="zh-CN"/>
        </w:rPr>
        <w:t>16</w:t>
      </w:r>
      <w:r>
        <w:rPr>
          <w:rFonts w:asciiTheme="minorEastAsia" w:hAnsiTheme="minorEastAsia" w:eastAsiaTheme="minorEastAsia"/>
          <w:b/>
          <w:sz w:val="28"/>
          <w:szCs w:val="28"/>
          <w:u w:val="single"/>
        </w:rPr>
        <w:t>日</w:t>
      </w:r>
      <w:r>
        <w:rPr>
          <w:rFonts w:hint="eastAsia" w:asciiTheme="minorEastAsia" w:hAnsiTheme="minorEastAsia" w:eastAsiaTheme="minorEastAsia"/>
          <w:b/>
          <w:sz w:val="28"/>
          <w:szCs w:val="28"/>
          <w:u w:val="single"/>
          <w:lang w:val="en-US" w:eastAsia="zh-CN"/>
        </w:rPr>
        <w:t>上</w:t>
      </w:r>
      <w:r>
        <w:rPr>
          <w:rFonts w:asciiTheme="minorEastAsia" w:hAnsiTheme="minorEastAsia" w:eastAsiaTheme="minorEastAsia"/>
          <w:b/>
          <w:sz w:val="28"/>
          <w:szCs w:val="28"/>
          <w:u w:val="single"/>
        </w:rPr>
        <w:t>午</w:t>
      </w:r>
      <w:r>
        <w:rPr>
          <w:rFonts w:hint="eastAsia" w:asciiTheme="minorEastAsia" w:hAnsiTheme="minorEastAsia" w:eastAsiaTheme="minorEastAsia"/>
          <w:b/>
          <w:sz w:val="28"/>
          <w:szCs w:val="28"/>
          <w:u w:val="single"/>
          <w:lang w:val="en-US" w:eastAsia="zh-CN"/>
        </w:rPr>
        <w:t>09</w:t>
      </w:r>
      <w:bookmarkStart w:id="3" w:name="_GoBack"/>
      <w:bookmarkEnd w:id="3"/>
      <w:r>
        <w:rPr>
          <w:rFonts w:asciiTheme="minorEastAsia" w:hAnsiTheme="minorEastAsia" w:eastAsiaTheme="minorEastAsia"/>
          <w:b/>
          <w:sz w:val="28"/>
          <w:szCs w:val="28"/>
          <w:u w:val="single"/>
        </w:rPr>
        <w:t>:</w:t>
      </w:r>
      <w:r>
        <w:rPr>
          <w:rFonts w:hint="eastAsia" w:asciiTheme="minorEastAsia" w:hAnsiTheme="minorEastAsia" w:eastAsiaTheme="minorEastAsia"/>
          <w:b/>
          <w:sz w:val="28"/>
          <w:szCs w:val="28"/>
          <w:u w:val="single"/>
        </w:rPr>
        <w:t>30</w:t>
      </w:r>
      <w:r>
        <w:rPr>
          <w:rFonts w:hint="eastAsia" w:asciiTheme="minorEastAsia" w:hAnsiTheme="minorEastAsia" w:eastAsiaTheme="minorEastAsia"/>
          <w:b/>
          <w:sz w:val="28"/>
          <w:szCs w:val="28"/>
        </w:rPr>
        <w:t>(北京时间)</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投标文件递交及开标地点：衡阳华菱钢管有限公司西办公楼三楼开标</w:t>
      </w:r>
      <w:r>
        <w:rPr>
          <w:rFonts w:hint="eastAsia" w:asciiTheme="minorEastAsia" w:hAnsiTheme="minorEastAsia" w:eastAsiaTheme="minorEastAsia"/>
          <w:sz w:val="28"/>
          <w:szCs w:val="28"/>
          <w:lang w:val="en-US" w:eastAsia="zh-CN"/>
        </w:rPr>
        <w:t>一</w:t>
      </w:r>
      <w:r>
        <w:rPr>
          <w:rFonts w:hint="eastAsia" w:asciiTheme="minorEastAsia" w:hAnsiTheme="minorEastAsia" w:eastAsiaTheme="minorEastAsia"/>
          <w:sz w:val="28"/>
          <w:szCs w:val="28"/>
        </w:rPr>
        <w:t xml:space="preserve">室（采购部三楼）                  </w:t>
      </w:r>
    </w:p>
    <w:p>
      <w:pPr>
        <w:pStyle w:val="101"/>
        <w:numPr>
          <w:ilvl w:val="1"/>
          <w:numId w:val="1"/>
        </w:numPr>
        <w:adjustRightInd w:val="0"/>
        <w:snapToGrid w:val="0"/>
        <w:spacing w:line="360" w:lineRule="exact"/>
        <w:ind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评标办法</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本项目采用经评审的最低价中标法。</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公告媒介</w:t>
      </w:r>
    </w:p>
    <w:p>
      <w:pPr>
        <w:pStyle w:val="101"/>
        <w:adjustRightInd w:val="0"/>
        <w:snapToGrid w:val="0"/>
        <w:spacing w:line="360" w:lineRule="exact"/>
        <w:ind w:left="851" w:firstLine="0" w:firstLineChars="0"/>
        <w:contextualSpacing/>
        <w:rPr>
          <w:rFonts w:asciiTheme="minorEastAsia" w:hAnsiTheme="minorEastAsia" w:eastAsiaTheme="minorEastAsia"/>
          <w:sz w:val="28"/>
          <w:szCs w:val="28"/>
        </w:rPr>
      </w:pPr>
      <w:r>
        <w:rPr>
          <w:rFonts w:hint="eastAsia" w:asciiTheme="minorEastAsia" w:hAnsiTheme="minorEastAsia" w:eastAsiaTheme="minorEastAsia"/>
          <w:sz w:val="28"/>
          <w:szCs w:val="28"/>
        </w:rPr>
        <w:t>本次招标公告在衡阳华菱钢管有限公司网站（</w:t>
      </w:r>
      <w:r>
        <w:rPr>
          <w:rFonts w:asciiTheme="minorEastAsia" w:hAnsiTheme="minorEastAsia" w:eastAsiaTheme="minorEastAsia"/>
          <w:sz w:val="28"/>
          <w:szCs w:val="28"/>
        </w:rPr>
        <w:t>http://www.hysteeltube.com/zbgg</w:t>
      </w:r>
      <w:r>
        <w:rPr>
          <w:rFonts w:hint="eastAsia" w:asciiTheme="minorEastAsia" w:hAnsiTheme="minorEastAsia" w:eastAsiaTheme="minorEastAsia"/>
          <w:sz w:val="28"/>
          <w:szCs w:val="28"/>
        </w:rPr>
        <w:t>）上发布。</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监督</w:t>
      </w:r>
    </w:p>
    <w:p>
      <w:pPr>
        <w:pStyle w:val="101"/>
        <w:numPr>
          <w:ilvl w:val="0"/>
          <w:numId w:val="1"/>
        </w:numPr>
        <w:snapToGrid w:val="0"/>
        <w:spacing w:line="400" w:lineRule="exact"/>
        <w:ind w:firstLineChars="0"/>
        <w:rPr>
          <w:rFonts w:cs="宋体" w:asciiTheme="minorEastAsia" w:hAnsiTheme="minorEastAsia" w:eastAsiaTheme="minorEastAsia"/>
          <w:kern w:val="0"/>
          <w:sz w:val="28"/>
          <w:szCs w:val="28"/>
        </w:rPr>
      </w:pPr>
      <w:r>
        <w:rPr>
          <w:rFonts w:hint="eastAsia" w:asciiTheme="minorEastAsia" w:hAnsiTheme="minorEastAsia" w:eastAsiaTheme="minorEastAsia"/>
          <w:sz w:val="28"/>
          <w:szCs w:val="28"/>
        </w:rPr>
        <w:t>本次招投标监督部门为衡阳华菱钢管有限公司</w:t>
      </w:r>
      <w:bookmarkStart w:id="1" w:name="_Toc303864862"/>
      <w:bookmarkStart w:id="2" w:name="_Toc300677994"/>
      <w:r>
        <w:rPr>
          <w:rFonts w:hint="eastAsia" w:asciiTheme="minorEastAsia" w:hAnsiTheme="minorEastAsia" w:eastAsiaTheme="minorEastAsia"/>
          <w:sz w:val="28"/>
          <w:szCs w:val="28"/>
        </w:rPr>
        <w:t>纪委，电话：</w:t>
      </w:r>
      <w:bookmarkEnd w:id="1"/>
      <w:bookmarkEnd w:id="2"/>
      <w:r>
        <w:rPr>
          <w:rFonts w:hint="eastAsia" w:cs="宋体" w:asciiTheme="minorEastAsia" w:hAnsiTheme="minorEastAsia" w:eastAsiaTheme="minorEastAsia"/>
          <w:kern w:val="0"/>
          <w:sz w:val="28"/>
          <w:szCs w:val="28"/>
        </w:rPr>
        <w:t>0734-8872189</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hint="eastAsia" w:asciiTheme="minorEastAsia" w:hAnsiTheme="minorEastAsia" w:eastAsiaTheme="minorEastAsia"/>
          <w:b/>
          <w:sz w:val="28"/>
          <w:szCs w:val="28"/>
        </w:rPr>
        <w:t>其它</w:t>
      </w:r>
    </w:p>
    <w:p>
      <w:pPr>
        <w:pStyle w:val="101"/>
        <w:adjustRightInd w:val="0"/>
        <w:snapToGrid w:val="0"/>
        <w:spacing w:line="360" w:lineRule="exact"/>
        <w:ind w:left="851" w:firstLine="0" w:firstLineChars="0"/>
        <w:rPr>
          <w:rFonts w:asciiTheme="minorEastAsia" w:hAnsiTheme="minorEastAsia" w:eastAsiaTheme="minorEastAsia"/>
          <w:sz w:val="28"/>
          <w:szCs w:val="28"/>
        </w:rPr>
      </w:pPr>
      <w:r>
        <w:rPr>
          <w:rFonts w:hint="eastAsia" w:asciiTheme="minorEastAsia" w:hAnsiTheme="minorEastAsia" w:eastAsiaTheme="minorEastAsia"/>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Theme="minorEastAsia" w:hAnsiTheme="minorEastAsia" w:eastAsiaTheme="minorEastAsia"/>
          <w:b/>
          <w:sz w:val="28"/>
          <w:szCs w:val="28"/>
        </w:rPr>
      </w:pPr>
      <w:r>
        <w:rPr>
          <w:rFonts w:asciiTheme="minorEastAsia" w:hAnsiTheme="minorEastAsia" w:eastAsiaTheme="minorEastAsia"/>
          <w:b/>
          <w:sz w:val="28"/>
          <w:szCs w:val="28"/>
        </w:rPr>
        <w:t>联系方式：</w:t>
      </w:r>
    </w:p>
    <w:p>
      <w:pPr>
        <w:snapToGrid w:val="0"/>
        <w:spacing w:line="400" w:lineRule="exact"/>
        <w:ind w:left="850" w:leftChars="405"/>
        <w:rPr>
          <w:rFonts w:asciiTheme="minorEastAsia" w:hAnsiTheme="minorEastAsia" w:eastAsiaTheme="minorEastAsia"/>
          <w:sz w:val="28"/>
          <w:szCs w:val="28"/>
        </w:rPr>
      </w:pPr>
      <w:r>
        <w:rPr>
          <w:rFonts w:hint="eastAsia" w:asciiTheme="minorEastAsia" w:hAnsiTheme="minorEastAsia" w:eastAsiaTheme="minorEastAsia"/>
          <w:sz w:val="28"/>
          <w:szCs w:val="28"/>
        </w:rPr>
        <w:t>采购</w:t>
      </w:r>
      <w:r>
        <w:rPr>
          <w:rFonts w:asciiTheme="minorEastAsia" w:hAnsiTheme="minorEastAsia" w:eastAsiaTheme="minorEastAsia"/>
          <w:sz w:val="28"/>
          <w:szCs w:val="28"/>
        </w:rPr>
        <w:t>联系人</w:t>
      </w:r>
      <w:r>
        <w:rPr>
          <w:rFonts w:hint="eastAsia" w:asciiTheme="minorEastAsia" w:hAnsiTheme="minorEastAsia" w:eastAsiaTheme="minorEastAsia"/>
          <w:sz w:val="28"/>
          <w:szCs w:val="28"/>
        </w:rPr>
        <w:t>：赵先生</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w:t>
      </w:r>
      <w:r>
        <w:rPr>
          <w:rFonts w:hint="eastAsia" w:asciiTheme="minorEastAsia" w:hAnsiTheme="minorEastAsia" w:eastAsiaTheme="minorEastAsia"/>
          <w:sz w:val="28"/>
          <w:szCs w:val="28"/>
        </w:rPr>
        <w:t>8872016</w:t>
      </w:r>
      <w:r>
        <w:rPr>
          <w:rFonts w:asciiTheme="minorEastAsia" w:hAnsiTheme="minorEastAsia" w:eastAsiaTheme="minorEastAsia"/>
          <w:sz w:val="28"/>
          <w:szCs w:val="28"/>
        </w:rPr>
        <w:t xml:space="preserve">（办）  </w:t>
      </w:r>
      <w:r>
        <w:rPr>
          <w:rFonts w:hint="eastAsia" w:asciiTheme="minorEastAsia" w:hAnsiTheme="minorEastAsia" w:eastAsiaTheme="minorEastAsia"/>
          <w:sz w:val="28"/>
          <w:szCs w:val="28"/>
        </w:rPr>
        <w:t xml:space="preserve">         </w:t>
      </w:r>
      <w:r>
        <w:rPr>
          <w:rFonts w:asciiTheme="minorEastAsia" w:hAnsiTheme="minorEastAsia" w:eastAsiaTheme="minorEastAsia"/>
          <w:sz w:val="28"/>
          <w:szCs w:val="28"/>
        </w:rPr>
        <w:t>手机：</w:t>
      </w:r>
      <w:r>
        <w:rPr>
          <w:rFonts w:hint="eastAsia" w:asciiTheme="minorEastAsia" w:hAnsiTheme="minorEastAsia" w:eastAsiaTheme="minorEastAsia"/>
          <w:sz w:val="28"/>
          <w:szCs w:val="28"/>
        </w:rPr>
        <w:t>13875760711</w:t>
      </w:r>
      <w:r>
        <w:rPr>
          <w:rFonts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衡阳华菱钢管有限公司采购</w:t>
      </w:r>
      <w:r>
        <w:rPr>
          <w:rFonts w:asciiTheme="minorEastAsia" w:hAnsiTheme="minorEastAsia" w:eastAsiaTheme="minorEastAsia"/>
          <w:sz w:val="28"/>
          <w:szCs w:val="28"/>
        </w:rPr>
        <w:t>部</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招标联系人：</w:t>
      </w:r>
      <w:r>
        <w:rPr>
          <w:rFonts w:hint="eastAsia" w:asciiTheme="minorEastAsia" w:hAnsiTheme="minorEastAsia" w:eastAsiaTheme="minorEastAsia"/>
          <w:sz w:val="28"/>
          <w:szCs w:val="28"/>
          <w:lang w:val="en-US" w:eastAsia="zh-CN"/>
        </w:rPr>
        <w:t>肖先生</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电话：（0734）887</w:t>
      </w:r>
      <w:r>
        <w:rPr>
          <w:rFonts w:hint="eastAsia" w:asciiTheme="minorEastAsia" w:hAnsiTheme="minorEastAsia" w:eastAsiaTheme="minorEastAsia"/>
          <w:sz w:val="28"/>
          <w:szCs w:val="28"/>
        </w:rPr>
        <w:t>2579</w:t>
      </w:r>
      <w:r>
        <w:rPr>
          <w:rFonts w:asciiTheme="minorEastAsia" w:hAnsiTheme="minorEastAsia" w:eastAsiaTheme="minorEastAsia"/>
          <w:sz w:val="28"/>
          <w:szCs w:val="28"/>
        </w:rPr>
        <w:t>（办）           手机：</w:t>
      </w:r>
      <w:r>
        <w:rPr>
          <w:rFonts w:hint="eastAsia" w:asciiTheme="minorEastAsia" w:hAnsiTheme="minorEastAsia" w:eastAsiaTheme="minorEastAsia"/>
          <w:sz w:val="28"/>
          <w:szCs w:val="28"/>
          <w:lang w:val="en-US" w:eastAsia="zh-CN"/>
        </w:rPr>
        <w:t>15200700954</w:t>
      </w:r>
      <w:r>
        <w:rPr>
          <w:rFonts w:hint="eastAsia" w:asciiTheme="minorEastAsia" w:hAnsiTheme="minorEastAsia" w:eastAsiaTheme="minorEastAsia"/>
          <w:sz w:val="28"/>
          <w:szCs w:val="28"/>
        </w:rPr>
        <w:t xml:space="preserve"> </w:t>
      </w:r>
    </w:p>
    <w:p>
      <w:pPr>
        <w:snapToGrid w:val="0"/>
        <w:spacing w:line="400" w:lineRule="exact"/>
        <w:ind w:left="850" w:leftChars="405"/>
        <w:rPr>
          <w:rFonts w:asciiTheme="minorEastAsia" w:hAnsiTheme="minorEastAsia" w:eastAsiaTheme="minorEastAsia"/>
          <w:sz w:val="28"/>
          <w:szCs w:val="28"/>
        </w:rPr>
      </w:pPr>
      <w:r>
        <w:rPr>
          <w:rFonts w:asciiTheme="minorEastAsia" w:hAnsiTheme="minorEastAsia" w:eastAsiaTheme="minorEastAsia"/>
          <w:sz w:val="28"/>
          <w:szCs w:val="28"/>
        </w:rPr>
        <w:t>详细地址：</w:t>
      </w:r>
      <w:r>
        <w:rPr>
          <w:rFonts w:hint="eastAsia" w:asciiTheme="minorEastAsia" w:hAnsiTheme="minorEastAsia" w:eastAsiaTheme="minorEastAsia"/>
          <w:sz w:val="28"/>
          <w:szCs w:val="28"/>
        </w:rPr>
        <w:t>衡阳华菱钢管有限公司企业管理和人力资源</w:t>
      </w:r>
      <w:r>
        <w:rPr>
          <w:rFonts w:asciiTheme="minorEastAsia" w:hAnsiTheme="minorEastAsia" w:eastAsiaTheme="minorEastAsia"/>
          <w:sz w:val="28"/>
          <w:szCs w:val="28"/>
        </w:rPr>
        <w:t>部</w:t>
      </w:r>
      <w:r>
        <w:rPr>
          <w:rFonts w:hint="eastAsia" w:asciiTheme="minorEastAsia" w:hAnsiTheme="minorEastAsia" w:eastAsiaTheme="minorEastAsia"/>
          <w:sz w:val="28"/>
          <w:szCs w:val="28"/>
        </w:rPr>
        <w:t>/湖南衡阳钢管（集团）有限公司招标办</w:t>
      </w:r>
    </w:p>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auto"/>
    <w:pitch w:val="default"/>
    <w:sig w:usb0="00000000" w:usb1="00000000" w:usb2="00000010" w:usb3="00000000" w:csb0="00100000"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1</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2824"/>
    <w:rsid w:val="004A5FFC"/>
    <w:rsid w:val="004B0F7E"/>
    <w:rsid w:val="004B1534"/>
    <w:rsid w:val="004B1D00"/>
    <w:rsid w:val="004B3F66"/>
    <w:rsid w:val="004B7B3F"/>
    <w:rsid w:val="004C163E"/>
    <w:rsid w:val="004C2FA0"/>
    <w:rsid w:val="004C4EDE"/>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4D3B"/>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286"/>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B5E6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1A5249B"/>
    <w:rsid w:val="34134919"/>
    <w:rsid w:val="36C43945"/>
    <w:rsid w:val="4CD76635"/>
    <w:rsid w:val="4F8C3D25"/>
    <w:rsid w:val="4FA84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uiPriority w:val="0"/>
    <w:rPr>
      <w:rFonts w:ascii="Tahoma" w:hAnsi="Tahoma"/>
      <w:sz w:val="24"/>
      <w:szCs w:val="20"/>
    </w:rPr>
  </w:style>
  <w:style w:type="paragraph" w:customStyle="1" w:styleId="70">
    <w:name w:val="Defaul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uiPriority w:val="0"/>
    <w:pPr>
      <w:snapToGrid w:val="0"/>
      <w:spacing w:line="360" w:lineRule="auto"/>
      <w:ind w:firstLine="200" w:firstLineChars="200"/>
    </w:pPr>
    <w:rPr>
      <w:rFonts w:eastAsia="仿宋_GB2312"/>
      <w:sz w:val="24"/>
    </w:rPr>
  </w:style>
  <w:style w:type="paragraph" w:customStyle="1" w:styleId="72">
    <w:name w:val="标题2"/>
    <w:basedOn w:val="35"/>
    <w:uiPriority w:val="0"/>
    <w:pPr>
      <w:spacing w:after="240"/>
      <w:jc w:val="left"/>
    </w:pPr>
    <w:rPr>
      <w:sz w:val="30"/>
    </w:rPr>
  </w:style>
  <w:style w:type="paragraph" w:customStyle="1" w:styleId="73">
    <w:name w:val="标题 1 +"/>
    <w:basedOn w:val="2"/>
    <w:next w:val="1"/>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uiPriority w:val="0"/>
    <w:pPr>
      <w:ind w:firstLine="420" w:firstLineChars="200"/>
    </w:pPr>
  </w:style>
  <w:style w:type="paragraph" w:customStyle="1" w:styleId="75">
    <w:name w:val="标题3"/>
    <w:basedOn w:val="2"/>
    <w:uiPriority w:val="0"/>
    <w:pPr>
      <w:spacing w:beforeLines="50" w:afterLines="50" w:line="400" w:lineRule="exact"/>
    </w:pPr>
    <w:rPr>
      <w:rFonts w:ascii="宋体" w:hAnsi="宋体"/>
      <w:sz w:val="24"/>
    </w:rPr>
  </w:style>
  <w:style w:type="character" w:customStyle="1" w:styleId="76">
    <w:name w:val="javascript"/>
    <w:basedOn w:val="39"/>
    <w:uiPriority w:val="0"/>
    <w:rPr>
      <w:rFonts w:ascii="宋体" w:hAnsi="宋体" w:eastAsia="宋体"/>
      <w:sz w:val="24"/>
    </w:rPr>
  </w:style>
  <w:style w:type="character" w:customStyle="1" w:styleId="77">
    <w:name w:val="Char Char16"/>
    <w:basedOn w:val="39"/>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Heading"/>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225</Words>
  <Characters>1288</Characters>
  <Lines>10</Lines>
  <Paragraphs>3</Paragraphs>
  <TotalTime>0</TotalTime>
  <ScaleCrop>false</ScaleCrop>
  <LinksUpToDate>false</LinksUpToDate>
  <CharactersWithSpaces>1510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cp:lastModifiedBy>
  <cp:lastPrinted>2021-05-21T06:26:00Z</cp:lastPrinted>
  <dcterms:modified xsi:type="dcterms:W3CDTF">2022-02-11T09:15:43Z</dcterms:modified>
  <dc:title>第二章  投标人须知</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