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ilvl w:val="0"/>
          <w:numId w:val="0"/>
        </w:numPr>
        <w:ind w:leftChars="0" w:firstLine="3855" w:firstLineChars="1200"/>
        <w:jc w:val="both"/>
        <w:rPr>
          <w:rFonts w:hint="eastAsia" w:ascii="仿宋" w:hAnsi="仿宋" w:eastAsia="仿宋"/>
          <w:szCs w:val="32"/>
        </w:rPr>
      </w:pPr>
      <w:bookmarkStart w:id="0" w:name="_Toc526861349"/>
      <w:bookmarkStart w:id="1" w:name="_Toc526778066"/>
      <w:bookmarkStart w:id="2" w:name="_Toc526246862"/>
      <w:bookmarkStart w:id="3" w:name="_Toc61354154"/>
      <w:bookmarkStart w:id="4" w:name="_Toc303864864"/>
      <w:bookmarkStart w:id="5" w:name="_Toc300678051"/>
      <w:r>
        <w:rPr>
          <w:rFonts w:hint="eastAsia" w:ascii="仿宋" w:hAnsi="仿宋" w:eastAsia="仿宋"/>
          <w:szCs w:val="32"/>
        </w:rPr>
        <w:t xml:space="preserve">  招标公告</w:t>
      </w:r>
      <w:bookmarkEnd w:id="0"/>
      <w:bookmarkEnd w:id="1"/>
      <w:bookmarkEnd w:id="2"/>
      <w:bookmarkEnd w:id="3"/>
    </w:p>
    <w:p>
      <w:pPr>
        <w:rPr>
          <w:rFonts w:hint="eastAsia" w:ascii="仿宋" w:hAnsi="仿宋" w:eastAsia="仿宋"/>
          <w:szCs w:val="32"/>
        </w:rPr>
      </w:pPr>
    </w:p>
    <w:p>
      <w:pPr>
        <w:rPr>
          <w:rFonts w:hint="eastAsia" w:ascii="仿宋" w:hAnsi="仿宋" w:eastAsia="仿宋"/>
          <w:szCs w:val="32"/>
        </w:rPr>
      </w:pP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CGY22014</w:t>
      </w:r>
    </w:p>
    <w:p>
      <w:pPr>
        <w:spacing w:line="320" w:lineRule="atLeast"/>
        <w:ind w:right="1415" w:rightChars="674" w:firstLine="840" w:firstLineChars="300"/>
        <w:rPr>
          <w:rFonts w:asciiTheme="minorEastAsia" w:hAnsiTheme="minorEastAsia" w:eastAsiaTheme="minorEastAsia"/>
          <w:b/>
          <w:bCs/>
          <w:sz w:val="28"/>
          <w:szCs w:val="28"/>
        </w:rPr>
      </w:pPr>
      <w:r>
        <w:rPr>
          <w:rFonts w:hint="eastAsia" w:ascii="仿宋" w:hAnsi="仿宋" w:eastAsia="仿宋"/>
          <w:sz w:val="28"/>
          <w:szCs w:val="28"/>
        </w:rPr>
        <w:t>项目名称：</w:t>
      </w:r>
      <w:r>
        <w:rPr>
          <w:rFonts w:hint="eastAsia" w:ascii="仿宋" w:hAnsi="仿宋" w:eastAsia="仿宋"/>
          <w:b/>
          <w:bCs/>
          <w:sz w:val="32"/>
          <w:szCs w:val="32"/>
        </w:rPr>
        <w:t>202</w:t>
      </w:r>
      <w:r>
        <w:rPr>
          <w:rFonts w:hint="eastAsia" w:ascii="仿宋" w:hAnsi="仿宋" w:eastAsia="仿宋"/>
          <w:b/>
          <w:bCs/>
          <w:sz w:val="32"/>
          <w:szCs w:val="32"/>
          <w:lang w:val="en-US" w:eastAsia="zh-CN"/>
        </w:rPr>
        <w:t>2</w:t>
      </w:r>
      <w:r>
        <w:rPr>
          <w:rFonts w:hint="eastAsia" w:ascii="仿宋" w:hAnsi="仿宋" w:eastAsia="仿宋"/>
          <w:b/>
          <w:bCs/>
          <w:sz w:val="32"/>
          <w:szCs w:val="32"/>
        </w:rPr>
        <w:t>年</w:t>
      </w:r>
      <w:r>
        <w:rPr>
          <w:rFonts w:hint="eastAsia" w:ascii="仿宋" w:hAnsi="仿宋" w:eastAsia="仿宋"/>
          <w:b/>
          <w:bCs/>
          <w:sz w:val="32"/>
          <w:szCs w:val="32"/>
          <w:lang w:val="en-US" w:eastAsia="zh-CN"/>
        </w:rPr>
        <w:t>2-5</w:t>
      </w:r>
      <w:r>
        <w:rPr>
          <w:rFonts w:hint="eastAsia" w:ascii="仿宋" w:hAnsi="仿宋" w:eastAsia="仿宋"/>
          <w:b/>
          <w:bCs/>
          <w:sz w:val="32"/>
          <w:szCs w:val="32"/>
        </w:rPr>
        <w:t>月</w:t>
      </w:r>
      <w:r>
        <w:rPr>
          <w:rFonts w:hint="eastAsia" w:ascii="仿宋" w:hAnsi="仿宋" w:eastAsia="仿宋"/>
          <w:b/>
          <w:bCs/>
          <w:sz w:val="32"/>
          <w:szCs w:val="32"/>
          <w:lang w:eastAsia="zh-CN"/>
        </w:rPr>
        <w:t>镁砂</w:t>
      </w:r>
      <w:r>
        <w:rPr>
          <w:rFonts w:hint="eastAsia" w:ascii="仿宋" w:hAnsi="仿宋" w:eastAsia="仿宋"/>
          <w:b/>
          <w:bCs/>
          <w:sz w:val="32"/>
          <w:szCs w:val="32"/>
        </w:rPr>
        <w:t>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b/>
          <w:bCs/>
          <w:sz w:val="28"/>
          <w:szCs w:val="28"/>
          <w:lang w:eastAsia="zh-CN"/>
        </w:rPr>
        <w:t>镁砂</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val="en-US" w:eastAsia="zh-CN"/>
        </w:rPr>
        <w:t>50吨，</w:t>
      </w:r>
      <w:r>
        <w:rPr>
          <w:rFonts w:hint="eastAsia" w:asciiTheme="minorEastAsia" w:hAnsiTheme="minorEastAsia" w:eastAsiaTheme="minorEastAsia"/>
          <w:sz w:val="28"/>
          <w:szCs w:val="28"/>
        </w:rPr>
        <w:t>具体数量以分厂计划为准</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w:t>
      </w:r>
      <w:r>
        <w:rPr>
          <w:rFonts w:hint="eastAsia" w:ascii="仿宋" w:hAnsi="仿宋" w:eastAsia="仿宋"/>
          <w:sz w:val="28"/>
          <w:szCs w:val="28"/>
          <w:lang w:eastAsia="zh-CN"/>
        </w:rPr>
        <w:t>合同约定时间</w:t>
      </w:r>
      <w:r>
        <w:rPr>
          <w:rFonts w:hint="eastAsia" w:ascii="仿宋" w:hAnsi="仿宋" w:eastAsia="仿宋"/>
          <w:sz w:val="28"/>
          <w:szCs w:val="28"/>
        </w:rPr>
        <w:t xml:space="preserve">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0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0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   需方合格供方，且具备</w:t>
      </w:r>
      <w:r>
        <w:rPr>
          <w:rFonts w:hint="eastAsia" w:ascii="仿宋" w:hAnsi="仿宋" w:eastAsia="仿宋"/>
          <w:sz w:val="28"/>
          <w:szCs w:val="28"/>
          <w:lang w:eastAsia="zh-CN"/>
        </w:rPr>
        <w:t>耐火材料</w:t>
      </w:r>
      <w:r>
        <w:rPr>
          <w:rFonts w:hint="eastAsia" w:ascii="仿宋" w:hAnsi="仿宋" w:eastAsia="仿宋"/>
          <w:sz w:val="28"/>
          <w:szCs w:val="28"/>
        </w:rPr>
        <w:t xml:space="preserve">供货资质（已被需方列入黑名单或暂停供货资质的供方不可参标）。                                                                                              </w:t>
      </w:r>
    </w:p>
    <w:p>
      <w:pPr>
        <w:pStyle w:val="10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w:t>
      </w:r>
      <w:r>
        <w:rPr>
          <w:rFonts w:hint="eastAsia" w:ascii="仿宋" w:hAnsi="仿宋" w:eastAsia="仿宋"/>
          <w:sz w:val="28"/>
          <w:szCs w:val="28"/>
          <w:lang w:val="en-US" w:eastAsia="zh-CN"/>
        </w:rPr>
        <w:t xml:space="preserve">   </w:t>
      </w:r>
      <w:r>
        <w:rPr>
          <w:rFonts w:hint="eastAsia" w:ascii="仿宋" w:hAnsi="仿宋" w:eastAsia="仿宋"/>
          <w:sz w:val="28"/>
          <w:szCs w:val="28"/>
        </w:rPr>
        <w:t>为华菱湘钢、涟钢</w:t>
      </w:r>
      <w:r>
        <w:rPr>
          <w:rFonts w:hint="eastAsia" w:ascii="仿宋" w:hAnsi="仿宋" w:eastAsia="仿宋"/>
          <w:sz w:val="28"/>
          <w:szCs w:val="28"/>
          <w:lang w:eastAsia="zh-CN"/>
        </w:rPr>
        <w:t>耐火材料</w:t>
      </w:r>
      <w:r>
        <w:rPr>
          <w:rFonts w:hint="eastAsia" w:ascii="仿宋" w:hAnsi="仿宋" w:eastAsia="仿宋"/>
          <w:sz w:val="28"/>
          <w:szCs w:val="28"/>
        </w:rPr>
        <w:t>合格供方（提供合同原件或未经处理的扫描件）。注册资本必须不少于200万元,公司注册时间一年以上。                                                                                                2.3   为</w:t>
      </w:r>
      <w:r>
        <w:rPr>
          <w:rFonts w:hint="eastAsia" w:ascii="仿宋" w:hAnsi="仿宋" w:eastAsia="仿宋"/>
          <w:sz w:val="28"/>
          <w:szCs w:val="28"/>
          <w:lang w:eastAsia="zh-CN"/>
        </w:rPr>
        <w:t>耐火材料</w:t>
      </w:r>
      <w:r>
        <w:rPr>
          <w:rFonts w:hint="eastAsia" w:ascii="仿宋" w:hAnsi="仿宋" w:eastAsia="仿宋"/>
          <w:sz w:val="28"/>
          <w:szCs w:val="28"/>
        </w:rPr>
        <w:t>的生产、加工企业（提供2020年后同类物料供货业绩证明：合同原件或合同扫描件）。注册资本必须不少于200万元,公司注册时间一年以上。投标人营业执照经营范围应包含本次投标标的物范围。                                                                  3</w:t>
      </w:r>
      <w:r>
        <w:rPr>
          <w:rFonts w:hint="eastAsia" w:ascii="仿宋" w:hAnsi="仿宋" w:eastAsia="仿宋"/>
          <w:b/>
          <w:sz w:val="28"/>
          <w:szCs w:val="28"/>
        </w:rPr>
        <w:t>招标文件获取</w:t>
      </w:r>
    </w:p>
    <w:p>
      <w:pPr>
        <w:pStyle w:val="10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10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3</w:t>
      </w:r>
      <w:r>
        <w:rPr>
          <w:rFonts w:hint="eastAsia" w:ascii="仿宋" w:hAnsi="仿宋" w:eastAsia="仿宋"/>
          <w:sz w:val="28"/>
          <w:szCs w:val="28"/>
        </w:rPr>
        <w:t>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2</w:t>
      </w:r>
      <w:r>
        <w:rPr>
          <w:rFonts w:ascii="仿宋" w:hAnsi="仿宋" w:eastAsia="仿宋"/>
          <w:b/>
          <w:sz w:val="28"/>
          <w:szCs w:val="28"/>
          <w:u w:val="single"/>
        </w:rPr>
        <w:t>年</w:t>
      </w:r>
      <w:r>
        <w:rPr>
          <w:rFonts w:hint="eastAsia" w:ascii="仿宋" w:hAnsi="仿宋" w:eastAsia="仿宋"/>
          <w:b/>
          <w:sz w:val="28"/>
          <w:szCs w:val="28"/>
          <w:u w:val="single"/>
          <w:lang w:val="en-US" w:eastAsia="zh-CN"/>
        </w:rPr>
        <w:t xml:space="preserve"> 2 </w:t>
      </w:r>
      <w:r>
        <w:rPr>
          <w:rFonts w:ascii="仿宋" w:hAnsi="仿宋" w:eastAsia="仿宋"/>
          <w:b/>
          <w:sz w:val="28"/>
          <w:szCs w:val="28"/>
          <w:u w:val="single"/>
        </w:rPr>
        <w:t>月</w:t>
      </w:r>
      <w:r>
        <w:rPr>
          <w:rFonts w:hint="eastAsia" w:ascii="仿宋" w:hAnsi="仿宋" w:eastAsia="仿宋"/>
          <w:b/>
          <w:sz w:val="28"/>
          <w:szCs w:val="28"/>
          <w:u w:val="single"/>
          <w:lang w:val="en-US" w:eastAsia="zh-CN"/>
        </w:rPr>
        <w:t xml:space="preserve">18 </w:t>
      </w:r>
      <w:r>
        <w:rPr>
          <w:rFonts w:ascii="仿宋" w:hAnsi="仿宋" w:eastAsia="仿宋"/>
          <w:b/>
          <w:sz w:val="28"/>
          <w:szCs w:val="28"/>
          <w:u w:val="single"/>
        </w:rPr>
        <w:t>日</w:t>
      </w:r>
      <w:r>
        <w:rPr>
          <w:rFonts w:hint="eastAsia" w:ascii="仿宋" w:hAnsi="仿宋" w:eastAsia="仿宋"/>
          <w:b/>
          <w:sz w:val="28"/>
          <w:szCs w:val="28"/>
          <w:u w:val="single"/>
          <w:lang w:eastAsia="zh-CN"/>
        </w:rPr>
        <w:t>下午</w:t>
      </w:r>
      <w:r>
        <w:rPr>
          <w:rFonts w:hint="eastAsia" w:ascii="仿宋" w:hAnsi="仿宋" w:eastAsia="仿宋"/>
          <w:b/>
          <w:sz w:val="28"/>
          <w:szCs w:val="28"/>
          <w:u w:val="single"/>
          <w:lang w:val="en-US" w:eastAsia="zh-CN"/>
        </w:rPr>
        <w:t>16：30</w:t>
      </w:r>
    </w:p>
    <w:p>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bookmarkStart w:id="52" w:name="_GoBack"/>
      <w:bookmarkEnd w:id="52"/>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1"/>
        <w:adjustRightInd w:val="0"/>
        <w:snapToGrid w:val="0"/>
        <w:spacing w:line="360" w:lineRule="exact"/>
        <w:ind w:left="851" w:firstLine="0" w:firstLineChars="0"/>
        <w:contextualSpacing/>
        <w:rPr>
          <w:rFonts w:ascii="仿宋" w:hAnsi="仿宋" w:eastAsia="仿宋"/>
          <w:sz w:val="28"/>
          <w:szCs w:val="28"/>
        </w:rPr>
      </w:pP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6" w:name="_Toc300677994"/>
      <w:bookmarkStart w:id="7" w:name="_Toc303864862"/>
      <w:r>
        <w:rPr>
          <w:rFonts w:hint="eastAsia" w:ascii="仿宋" w:hAnsi="仿宋" w:eastAsia="仿宋"/>
          <w:sz w:val="28"/>
          <w:szCs w:val="28"/>
        </w:rPr>
        <w:t>纪委，电话：</w:t>
      </w:r>
      <w:bookmarkEnd w:id="6"/>
      <w:bookmarkEnd w:id="7"/>
      <w:r>
        <w:rPr>
          <w:rFonts w:hint="eastAsia" w:ascii="仿宋" w:hAnsi="仿宋" w:eastAsia="仿宋" w:cs="宋体"/>
          <w:kern w:val="0"/>
          <w:sz w:val="28"/>
          <w:szCs w:val="28"/>
        </w:rPr>
        <w:t>0734-8872189</w:t>
      </w: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项目联系人：王先生</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10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pPr>
        <w:widowControl/>
        <w:jc w:val="left"/>
        <w:rPr>
          <w:rFonts w:hint="eastAsia" w:asciiTheme="minorEastAsia" w:hAnsiTheme="minorEastAsia" w:eastAsiaTheme="minorEastAsia"/>
          <w:sz w:val="28"/>
          <w:szCs w:val="28"/>
        </w:rPr>
      </w:pPr>
      <w:r>
        <w:rPr>
          <w:rFonts w:asciiTheme="minorEastAsia" w:hAnsiTheme="minorEastAsia" w:eastAsiaTheme="minorEastAsia"/>
          <w:sz w:val="28"/>
          <w:szCs w:val="28"/>
        </w:rPr>
        <w:br w:type="page"/>
      </w:r>
    </w:p>
    <w:p>
      <w:pPr>
        <w:widowControl/>
        <w:jc w:val="left"/>
        <w:rPr>
          <w:rFonts w:hint="eastAsia" w:asciiTheme="minorEastAsia" w:hAnsiTheme="minorEastAsia" w:eastAsiaTheme="minorEastAsia"/>
          <w:sz w:val="28"/>
          <w:szCs w:val="28"/>
        </w:rPr>
      </w:pPr>
    </w:p>
    <w:p>
      <w:pPr>
        <w:pStyle w:val="35"/>
        <w:rPr>
          <w:rFonts w:asciiTheme="minorEastAsia" w:hAnsiTheme="minorEastAsia" w:eastAsiaTheme="minorEastAsia"/>
          <w:sz w:val="28"/>
          <w:szCs w:val="28"/>
        </w:rPr>
      </w:pPr>
      <w:bookmarkStart w:id="8" w:name="_Toc1544812"/>
      <w:r>
        <w:rPr>
          <w:rFonts w:hint="eastAsia" w:asciiTheme="minorEastAsia" w:hAnsiTheme="minorEastAsia" w:eastAsiaTheme="minorEastAsia"/>
          <w:sz w:val="28"/>
          <w:szCs w:val="28"/>
        </w:rPr>
        <w:t>第二章  投标人须知</w:t>
      </w:r>
      <w:bookmarkEnd w:id="4"/>
      <w:bookmarkEnd w:id="8"/>
    </w:p>
    <w:p>
      <w:pPr>
        <w:snapToGrid w:val="0"/>
        <w:jc w:val="center"/>
        <w:rPr>
          <w:rFonts w:asciiTheme="minorEastAsia" w:hAnsiTheme="minorEastAsia" w:eastAsiaTheme="minorEastAsia"/>
          <w:sz w:val="28"/>
          <w:szCs w:val="28"/>
        </w:rPr>
      </w:pPr>
    </w:p>
    <w:bookmarkEnd w:id="5"/>
    <w:tbl>
      <w:tblPr>
        <w:tblStyle w:val="37"/>
        <w:tblW w:w="97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3293"/>
        <w:gridCol w:w="1575"/>
        <w:gridCol w:w="1369"/>
        <w:gridCol w:w="13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817" w:type="dxa"/>
            <w:vAlign w:val="center"/>
          </w:tcPr>
          <w:p>
            <w:pPr>
              <w:jc w:val="center"/>
              <w:rPr>
                <w:rFonts w:asciiTheme="minorEastAsia" w:hAnsiTheme="minorEastAsia" w:eastAsiaTheme="minorEastAsia"/>
                <w:sz w:val="28"/>
                <w:szCs w:val="28"/>
              </w:rPr>
            </w:pPr>
            <w:bookmarkStart w:id="9" w:name="_Toc300678058"/>
            <w:bookmarkStart w:id="10" w:name="_Toc303864875"/>
            <w:r>
              <w:rPr>
                <w:rFonts w:hint="eastAsia" w:asciiTheme="minorEastAsia" w:hAnsiTheme="minorEastAsia" w:eastAsiaTheme="minorEastAsia"/>
                <w:bCs/>
                <w:sz w:val="28"/>
                <w:szCs w:val="28"/>
              </w:rPr>
              <w:t>序号</w:t>
            </w:r>
          </w:p>
        </w:tc>
        <w:tc>
          <w:tcPr>
            <w:tcW w:w="1418" w:type="dxa"/>
            <w:vAlign w:val="center"/>
          </w:tcPr>
          <w:p>
            <w:pPr>
              <w:rPr>
                <w:rFonts w:asciiTheme="minorEastAsia" w:hAnsiTheme="minorEastAsia" w:eastAsiaTheme="minorEastAsia"/>
                <w:bCs/>
                <w:sz w:val="28"/>
                <w:szCs w:val="28"/>
              </w:rPr>
            </w:pPr>
            <w:r>
              <w:rPr>
                <w:rFonts w:hint="eastAsia" w:asciiTheme="minorEastAsia" w:hAnsiTheme="minorEastAsia" w:eastAsiaTheme="minorEastAsia"/>
                <w:bCs/>
                <w:sz w:val="28"/>
                <w:szCs w:val="28"/>
              </w:rPr>
              <w:t>条款名称</w:t>
            </w:r>
          </w:p>
        </w:tc>
        <w:tc>
          <w:tcPr>
            <w:tcW w:w="7547" w:type="dxa"/>
            <w:gridSpan w:val="4"/>
            <w:vAlign w:val="center"/>
          </w:tcPr>
          <w:p>
            <w:pPr>
              <w:rPr>
                <w:rFonts w:asciiTheme="minorEastAsia" w:hAnsiTheme="minorEastAsia" w:eastAsiaTheme="minorEastAsia"/>
                <w:bCs/>
                <w:sz w:val="28"/>
                <w:szCs w:val="28"/>
              </w:rPr>
            </w:pPr>
            <w:r>
              <w:rPr>
                <w:rFonts w:hint="eastAsia" w:asciiTheme="minorEastAsia" w:hAnsiTheme="minorEastAsia" w:eastAsiaTheme="minorEastAsia"/>
                <w:bCs/>
                <w:sz w:val="28"/>
                <w:szCs w:val="28"/>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货物名称</w:t>
            </w:r>
          </w:p>
        </w:tc>
        <w:tc>
          <w:tcPr>
            <w:tcW w:w="7547" w:type="dxa"/>
            <w:gridSpan w:val="4"/>
            <w:vAlign w:val="center"/>
          </w:tcPr>
          <w:p>
            <w:pPr>
              <w:pStyle w:val="101"/>
              <w:adjustRightInd w:val="0"/>
              <w:snapToGrid w:val="0"/>
              <w:spacing w:line="360" w:lineRule="exact"/>
              <w:ind w:left="0" w:leftChars="0" w:firstLine="0" w:firstLineChars="0"/>
              <w:rPr>
                <w:rFonts w:asciiTheme="minorEastAsia" w:hAnsiTheme="minorEastAsia" w:eastAsiaTheme="minorEastAsia"/>
                <w:sz w:val="28"/>
                <w:szCs w:val="28"/>
              </w:rPr>
            </w:pPr>
            <w:r>
              <w:rPr>
                <w:rFonts w:hint="eastAsia" w:ascii="仿宋" w:hAnsi="仿宋" w:eastAsia="仿宋"/>
                <w:b/>
                <w:bCs/>
                <w:sz w:val="32"/>
                <w:szCs w:val="32"/>
                <w:lang w:eastAsia="zh-CN"/>
              </w:rPr>
              <w:t>镁砂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数量</w:t>
            </w:r>
          </w:p>
        </w:tc>
        <w:tc>
          <w:tcPr>
            <w:tcW w:w="7547" w:type="dxa"/>
            <w:gridSpan w:val="4"/>
            <w:vAlign w:val="center"/>
          </w:tcPr>
          <w:p>
            <w:pPr>
              <w:pStyle w:val="101"/>
              <w:adjustRightInd w:val="0"/>
              <w:snapToGrid w:val="0"/>
              <w:spacing w:line="360" w:lineRule="exact"/>
              <w:ind w:left="0" w:leftChars="0" w:firstLine="0" w:firstLineChars="0"/>
              <w:rPr>
                <w:rFonts w:ascii="仿宋" w:hAnsi="仿宋" w:eastAsia="仿宋"/>
                <w:sz w:val="28"/>
                <w:szCs w:val="28"/>
              </w:rPr>
            </w:pPr>
            <w:r>
              <w:rPr>
                <w:rFonts w:hint="eastAsia" w:asciiTheme="minorEastAsia" w:hAnsiTheme="minorEastAsia" w:eastAsiaTheme="minorEastAsia"/>
                <w:sz w:val="28"/>
                <w:szCs w:val="28"/>
                <w:lang w:val="en-US" w:eastAsia="zh-CN"/>
              </w:rPr>
              <w:t>50吨</w:t>
            </w:r>
            <w:r>
              <w:rPr>
                <w:rFonts w:hint="eastAsia" w:asciiTheme="minorEastAsia" w:hAnsiTheme="minorEastAsia" w:eastAsiaTheme="minorEastAsia"/>
                <w:sz w:val="28"/>
                <w:szCs w:val="28"/>
              </w:rPr>
              <w:t>，具体数量以分厂计划为准</w:t>
            </w:r>
          </w:p>
          <w:p>
            <w:pPr>
              <w:spacing w:line="360" w:lineRule="exact"/>
              <w:jc w:val="left"/>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交货时间</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具体</w:t>
            </w:r>
            <w:r>
              <w:rPr>
                <w:rFonts w:hint="eastAsia" w:asciiTheme="minorEastAsia" w:hAnsiTheme="minorEastAsia" w:eastAsiaTheme="minorEastAsia"/>
                <w:sz w:val="28"/>
                <w:szCs w:val="28"/>
                <w:lang w:eastAsia="zh-CN"/>
              </w:rPr>
              <w:t>时间</w:t>
            </w:r>
            <w:r>
              <w:rPr>
                <w:rFonts w:hint="eastAsia" w:asciiTheme="minorEastAsia" w:hAnsiTheme="minorEastAsia" w:eastAsiaTheme="minorEastAsia"/>
                <w:sz w:val="28"/>
                <w:szCs w:val="28"/>
              </w:rPr>
              <w:t>以</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交货地点</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衡阳华菱钢管(连轧管)有限公司厂内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6"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合同类型</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固定单价合同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12"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w:t>
            </w:r>
          </w:p>
        </w:tc>
        <w:tc>
          <w:tcPr>
            <w:tcW w:w="1418" w:type="dxa"/>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招标文件澄清</w:t>
            </w:r>
          </w:p>
        </w:tc>
        <w:tc>
          <w:tcPr>
            <w:tcW w:w="7547" w:type="dxa"/>
            <w:gridSpan w:val="4"/>
            <w:vAlign w:val="center"/>
          </w:tcPr>
          <w:p>
            <w:pPr>
              <w:adjustRightInd w:val="0"/>
              <w:snapToGrid w:val="0"/>
              <w:spacing w:line="360" w:lineRule="exact"/>
              <w:rPr>
                <w:rFonts w:asciiTheme="minorEastAsia" w:hAnsiTheme="minorEastAsia" w:eastAsiaTheme="minorEastAsia"/>
                <w:sz w:val="28"/>
                <w:szCs w:val="28"/>
              </w:rPr>
            </w:pPr>
            <w:r>
              <w:rPr>
                <w:rFonts w:asciiTheme="minorEastAsia" w:hAnsiTheme="minorEastAsia" w:eastAsiaTheme="minorEastAsia"/>
                <w:sz w:val="28"/>
                <w:szCs w:val="28"/>
              </w:rPr>
              <w:t>任何要求对招标文件进行澄清的投标人，均应在投标截止日叁天以前按投标邀请书中的地址，以书面形式</w:t>
            </w:r>
            <w:r>
              <w:rPr>
                <w:rFonts w:hint="eastAsia" w:asciiTheme="minorEastAsia" w:hAnsiTheme="minorEastAsia" w:eastAsiaTheme="minorEastAsia"/>
                <w:sz w:val="28"/>
                <w:szCs w:val="28"/>
              </w:rPr>
              <w:t>或</w:t>
            </w:r>
            <w:r>
              <w:rPr>
                <w:rFonts w:asciiTheme="minorEastAsia" w:hAnsiTheme="minorEastAsia" w:eastAsiaTheme="minorEastAsia"/>
                <w:sz w:val="28"/>
                <w:szCs w:val="28"/>
              </w:rPr>
              <w:t>电</w:t>
            </w:r>
            <w:r>
              <w:rPr>
                <w:rFonts w:hint="eastAsia" w:asciiTheme="minorEastAsia" w:hAnsiTheme="minorEastAsia" w:eastAsiaTheme="minorEastAsia"/>
                <w:sz w:val="28"/>
                <w:szCs w:val="28"/>
              </w:rPr>
              <w:t>子邮件(照片、PDF、扫描件)</w:t>
            </w:r>
            <w:r>
              <w:rPr>
                <w:rFonts w:asciiTheme="minorEastAsia" w:hAnsiTheme="minorEastAsia" w:eastAsiaTheme="minorEastAsia"/>
                <w:sz w:val="28"/>
                <w:szCs w:val="28"/>
              </w:rPr>
              <w:t>等</w:t>
            </w:r>
            <w:r>
              <w:rPr>
                <w:rFonts w:hint="eastAsia" w:asciiTheme="minorEastAsia" w:hAnsiTheme="minorEastAsia" w:eastAsiaTheme="minorEastAsia"/>
                <w:sz w:val="28"/>
                <w:szCs w:val="28"/>
              </w:rPr>
              <w:t>形式</w:t>
            </w:r>
            <w:r>
              <w:rPr>
                <w:rFonts w:asciiTheme="minorEastAsia" w:hAnsiTheme="minorEastAsia" w:eastAsiaTheme="minorEastAsia"/>
                <w:sz w:val="28"/>
                <w:szCs w:val="28"/>
              </w:rPr>
              <w:t>通知招标方，招标方对投标截止叁天以前收到的任何澄清要求将以书面形式或其它合适的形式予以答复。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7</w:t>
            </w:r>
          </w:p>
        </w:tc>
        <w:tc>
          <w:tcPr>
            <w:tcW w:w="1418" w:type="dxa"/>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招标文件修改</w:t>
            </w:r>
          </w:p>
        </w:tc>
        <w:tc>
          <w:tcPr>
            <w:tcW w:w="7547" w:type="dxa"/>
            <w:gridSpan w:val="4"/>
            <w:vAlign w:val="center"/>
          </w:tcPr>
          <w:p>
            <w:pPr>
              <w:tabs>
                <w:tab w:val="left" w:pos="735"/>
              </w:tabs>
              <w:adjustRightInd w:val="0"/>
              <w:snapToGrid w:val="0"/>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在投标截止日期前的任何时候，无论出于何种原因，招标方可以主动或在</w:t>
            </w:r>
            <w:r>
              <w:rPr>
                <w:rFonts w:hint="eastAsia" w:asciiTheme="minorEastAsia" w:hAnsiTheme="minorEastAsia" w:eastAsiaTheme="minorEastAsia"/>
                <w:sz w:val="28"/>
                <w:szCs w:val="28"/>
              </w:rPr>
              <w:t>接受</w:t>
            </w:r>
            <w:r>
              <w:rPr>
                <w:rFonts w:asciiTheme="minorEastAsia" w:hAnsiTheme="minorEastAsia" w:eastAsiaTheme="minorEastAsia"/>
                <w:sz w:val="28"/>
                <w:szCs w:val="28"/>
              </w:rPr>
              <w:t>投标人提出的澄清问题</w:t>
            </w:r>
            <w:r>
              <w:rPr>
                <w:rFonts w:hint="eastAsia" w:asciiTheme="minorEastAsia" w:hAnsiTheme="minorEastAsia" w:eastAsiaTheme="minorEastAsia"/>
                <w:sz w:val="28"/>
                <w:szCs w:val="28"/>
              </w:rPr>
              <w:t>后</w:t>
            </w:r>
            <w:r>
              <w:rPr>
                <w:rFonts w:asciiTheme="minorEastAsia" w:hAnsiTheme="minorEastAsia" w:eastAsiaTheme="minorEastAsia"/>
                <w:sz w:val="28"/>
                <w:szCs w:val="28"/>
              </w:rPr>
              <w:t>对招标文件进行修改。招标文件的修改书将构成招标文件的一部份。</w:t>
            </w:r>
          </w:p>
          <w:p>
            <w:pPr>
              <w:tabs>
                <w:tab w:val="left" w:pos="735"/>
              </w:tabs>
              <w:adjustRightInd w:val="0"/>
              <w:snapToGrid w:val="0"/>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对招标文件的修改，将以书面、传真</w:t>
            </w:r>
            <w:r>
              <w:rPr>
                <w:rFonts w:hint="eastAsia" w:asciiTheme="minorEastAsia" w:hAnsiTheme="minorEastAsia" w:eastAsiaTheme="minorEastAsia"/>
                <w:sz w:val="28"/>
                <w:szCs w:val="28"/>
              </w:rPr>
              <w:t>、电子邮件</w:t>
            </w:r>
            <w:r>
              <w:rPr>
                <w:rFonts w:asciiTheme="minorEastAsia" w:hAnsiTheme="minorEastAsia" w:eastAsiaTheme="minorEastAsia"/>
                <w:sz w:val="28"/>
                <w:szCs w:val="28"/>
              </w:rPr>
              <w:t>的形式通知已获取招标文件的</w:t>
            </w:r>
            <w:r>
              <w:rPr>
                <w:rFonts w:hint="eastAsia" w:asciiTheme="minorEastAsia" w:hAnsiTheme="minorEastAsia" w:eastAsiaTheme="minorEastAsia"/>
                <w:sz w:val="28"/>
                <w:szCs w:val="28"/>
              </w:rPr>
              <w:t>投标人</w:t>
            </w:r>
            <w:r>
              <w:rPr>
                <w:rFonts w:asciiTheme="minorEastAsia" w:hAnsiTheme="minorEastAsia" w:eastAsiaTheme="minorEastAsia"/>
                <w:sz w:val="28"/>
                <w:szCs w:val="28"/>
              </w:rPr>
              <w:t>，补充文件作为招标文件的组成部分，对所有投标方有相同的约束力。</w:t>
            </w:r>
          </w:p>
          <w:p>
            <w:pPr>
              <w:tabs>
                <w:tab w:val="left" w:pos="720"/>
              </w:tabs>
              <w:adjustRightInd w:val="0"/>
              <w:snapToGrid w:val="0"/>
              <w:spacing w:line="3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为使投标人编写投标文件时有充分时间对招标文件的修改部分进行研究，招标方可以自行决定，酌情延长投标截止日期。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8</w:t>
            </w:r>
          </w:p>
        </w:tc>
        <w:tc>
          <w:tcPr>
            <w:tcW w:w="1418" w:type="dxa"/>
            <w:vAlign w:val="center"/>
          </w:tcPr>
          <w:p>
            <w:pPr>
              <w:pStyle w:val="15"/>
              <w:tabs>
                <w:tab w:val="left" w:pos="840"/>
              </w:tabs>
              <w:spacing w:after="20" w:line="300" w:lineRule="exact"/>
              <w:ind w:left="431" w:hanging="431"/>
              <w:rPr>
                <w:rFonts w:asciiTheme="minorEastAsia" w:hAnsiTheme="minorEastAsia" w:eastAsiaTheme="minorEastAsia"/>
                <w:bCs/>
                <w:sz w:val="28"/>
                <w:szCs w:val="28"/>
              </w:rPr>
            </w:pPr>
            <w:r>
              <w:rPr>
                <w:rFonts w:hint="eastAsia" w:asciiTheme="minorEastAsia" w:hAnsiTheme="minorEastAsia" w:eastAsiaTheme="minorEastAsia"/>
                <w:bCs/>
                <w:sz w:val="28"/>
                <w:szCs w:val="28"/>
              </w:rPr>
              <w:t>投标文件递交</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1、纸质文件：投标人将投标文件在投标截止时间前送达或邮寄至开标地点。迟到的投标文件将被拒绝。</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2、电子文件：投标人用U盘将电子版投标文件在投标截止时间前递交至开标地点（与纸质投标文件一起）或发送至招标方指定邮箱（hgtoubiao3@126.com</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hint="eastAsia" w:asciiTheme="minorEastAsia" w:hAnsiTheme="minorEastAsia" w:eastAsiaTheme="minorEastAsia"/>
                <w:b/>
                <w:sz w:val="28"/>
                <w:szCs w:val="28"/>
              </w:rPr>
              <w:t>采用电子邮件方式投标的，迟到的投标文件及发错邮箱的投标文件将被拒绝(视同废标)。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9</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投标文件构成</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投标文件资料如下：</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第一部分投标函部分</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第二部分商务标部分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费用承担</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投标人</w:t>
            </w:r>
            <w:r>
              <w:rPr>
                <w:rFonts w:asciiTheme="minorEastAsia" w:hAnsiTheme="minorEastAsia" w:eastAsiaTheme="minorEastAsia"/>
                <w:sz w:val="28"/>
                <w:szCs w:val="28"/>
              </w:rPr>
              <w:t>应承担所有与编写和提交投标文件有关的费用，不论投标的结果如何，招标方在任何情况下均无义务和责任承担这些费用。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11</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保密</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参与招标投标活动的各方应对招标文件和投标文件中的商业和技术等资料保密，违者应对由此造成的后果承担法律责任。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12</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语言文字</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除专用术语外，与招标投标有关的语言均使用中文。必要时专用术语应附有中文注释。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13</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计量单位</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所有计量均采用中华人民共和国法定计量单位。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14</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投标文件的编制</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1、投标文件应按 “投标文件格式”进行编写，如有必要，可以增加附页，作为投标文件的组成部分。投标函在满足招标文件实质性要求的基础上，可以提出比招标文件要求更有利于招标人的承诺。</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2、投标文件应当对招标文件评标办法的规定、合同条款、采购清单、技术规格要求、投标文件格式等内容做出实质性响应。</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投标文件应用不褪色的黑色碳素笔填写或打印，并由投标人的法定代表人或其委托代理人签字和盖单位章。委托代理人签字的投标文件应附法定代表人签署的授权委托书。投标文件应尽量避免涂改或删除。如果出现上述情况，改动之处应加盖单位章或由投标人的法定代表人或授权代理人签字确认。</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4、纸制版与电子版投标文件内容必须一致。（电子版投标文件制作用正本扫描，保存为PDF文件格式。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15</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商务/技术偏离</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允许（ 技术规格书不允许除外）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16</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签字盖章要求</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1、投标文件封面、投标函、开标</w:t>
            </w:r>
            <w:r>
              <w:rPr>
                <w:rFonts w:asciiTheme="minorEastAsia" w:hAnsiTheme="minorEastAsia" w:eastAsiaTheme="minorEastAsia"/>
                <w:sz w:val="28"/>
                <w:szCs w:val="28"/>
              </w:rPr>
              <w:t>一览表</w:t>
            </w:r>
            <w:r>
              <w:rPr>
                <w:rFonts w:hint="eastAsia" w:asciiTheme="minorEastAsia" w:hAnsiTheme="minorEastAsia" w:eastAsiaTheme="minorEastAsia"/>
                <w:sz w:val="28"/>
                <w:szCs w:val="28"/>
              </w:rPr>
              <w:t>、</w:t>
            </w:r>
            <w:r>
              <w:rPr>
                <w:rFonts w:asciiTheme="minorEastAsia" w:hAnsiTheme="minorEastAsia" w:eastAsiaTheme="minorEastAsia"/>
                <w:sz w:val="28"/>
                <w:szCs w:val="28"/>
              </w:rPr>
              <w:t>偏离表</w:t>
            </w:r>
            <w:r>
              <w:rPr>
                <w:rFonts w:hint="eastAsia" w:asciiTheme="minorEastAsia" w:hAnsiTheme="minorEastAsia" w:eastAsiaTheme="minorEastAsia"/>
                <w:sz w:val="28"/>
                <w:szCs w:val="28"/>
              </w:rPr>
              <w:t>、法定代表人身份证明、法定代表人授权书、保证金承诺函、开票信息表等必须由投标人的法定代表人或其委托代理人亲自签字和加盖单位章。</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2、上述签字盖章要求投标文件正本须本人亲笔签字、盖章必须为原章。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17</w:t>
            </w:r>
          </w:p>
        </w:tc>
        <w:tc>
          <w:tcPr>
            <w:tcW w:w="1418" w:type="dxa"/>
            <w:vAlign w:val="center"/>
          </w:tcPr>
          <w:p>
            <w:pPr>
              <w:spacing w:line="288" w:lineRule="auto"/>
              <w:jc w:val="left"/>
              <w:rPr>
                <w:rFonts w:asciiTheme="minorEastAsia" w:hAnsiTheme="minorEastAsia" w:eastAsiaTheme="minorEastAsia"/>
                <w:bCs/>
                <w:sz w:val="28"/>
                <w:szCs w:val="28"/>
              </w:rPr>
            </w:pPr>
            <w:r>
              <w:rPr>
                <w:rFonts w:hint="eastAsia" w:asciiTheme="minorEastAsia" w:hAnsiTheme="minorEastAsia" w:eastAsiaTheme="minorEastAsia"/>
                <w:sz w:val="28"/>
                <w:szCs w:val="28"/>
              </w:rPr>
              <w:t>投标文件份数</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1、纸制正本、电子版（含PDF版投标文件+EXCEL版商务标）各一份。</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2、投标文件封面上应清楚地标记“正本”。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18</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装订</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装订顺序要求：</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投标函部分：包括投标函目录的内容；</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商务标部分：包括商务标目录的内容；</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上述二部分装订为一本，每份装订应牢固、不易拆散和换页，提倡双面打印。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19</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封标</w:t>
            </w:r>
          </w:p>
        </w:tc>
        <w:tc>
          <w:tcPr>
            <w:tcW w:w="7547" w:type="dxa"/>
            <w:gridSpan w:val="4"/>
            <w:vAlign w:val="center"/>
          </w:tcPr>
          <w:p>
            <w:pPr>
              <w:snapToGrid w:val="0"/>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（项 目 名 称）投标文件在    年  月  日   时  分前不得开启                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20</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投标有效期</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从</w:t>
            </w:r>
            <w:r>
              <w:rPr>
                <w:rFonts w:hint="eastAsia" w:asciiTheme="minorEastAsia" w:hAnsiTheme="minorEastAsia" w:eastAsiaTheme="minorEastAsia"/>
                <w:sz w:val="28"/>
                <w:szCs w:val="28"/>
              </w:rPr>
              <w:t>投标文件递交截止时间及开标时间</w:t>
            </w:r>
            <w:r>
              <w:rPr>
                <w:rFonts w:asciiTheme="minorEastAsia" w:hAnsiTheme="minorEastAsia" w:eastAsiaTheme="minorEastAsia"/>
                <w:sz w:val="28"/>
                <w:szCs w:val="28"/>
              </w:rPr>
              <w:t>起算的60日历天投标有效期内有效</w:t>
            </w:r>
            <w:r>
              <w:rPr>
                <w:rFonts w:hint="eastAsia" w:asciiTheme="minorEastAsia" w:hAnsiTheme="minorEastAsia" w:eastAsiaTheme="minorEastAsia"/>
                <w:sz w:val="28"/>
                <w:szCs w:val="28"/>
              </w:rPr>
              <w:t>。</w:t>
            </w:r>
          </w:p>
          <w:p>
            <w:pPr>
              <w:pStyle w:val="63"/>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2、投标有效期内，投标人不得要求撤销或修改其投标文件内容。</w:t>
            </w:r>
          </w:p>
          <w:p>
            <w:pPr>
              <w:pStyle w:val="63"/>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出现特殊情况需要延长投标有效期的，招标人以书面形式通知所有投标人延长投标有效期。投标人同意延长的，应相应延长其投标保证金的有效期，但不得修改投标文件实质性内容；投标人拒绝延长的，其投标失效，但投标人有权收回其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21</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投标保</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证金</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1、投标保证金</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000</w:t>
            </w:r>
            <w:r>
              <w:rPr>
                <w:rFonts w:asciiTheme="minorEastAsia" w:hAnsiTheme="minorEastAsia" w:eastAsiaTheme="minorEastAsia"/>
                <w:b/>
                <w:sz w:val="28"/>
                <w:szCs w:val="28"/>
                <w:u w:val="single"/>
              </w:rPr>
              <w:t>元</w:t>
            </w:r>
            <w:r>
              <w:rPr>
                <w:rFonts w:asciiTheme="minorEastAsia" w:hAnsiTheme="minorEastAsia" w:eastAsiaTheme="minorEastAsia"/>
                <w:sz w:val="28"/>
                <w:szCs w:val="28"/>
              </w:rPr>
              <w:t>人民币</w:t>
            </w:r>
            <w:r>
              <w:rPr>
                <w:rFonts w:hint="eastAsia" w:asciiTheme="minorEastAsia" w:hAnsiTheme="minorEastAsia" w:eastAsiaTheme="minorEastAsia"/>
                <w:sz w:val="28"/>
                <w:szCs w:val="28"/>
              </w:rPr>
              <w:t>。中标签合同后直接转为履约保证金。</w:t>
            </w:r>
          </w:p>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2、投标保证金类型：现金、银行汇票、转账凭证、货款或工程款（在衡钢有足额货款或工程款的，可充抵保证金，但须提交投标保证金承诺函）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817" w:type="dxa"/>
            <w:vAlign w:val="center"/>
          </w:tcPr>
          <w:p>
            <w:pPr>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22</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投标保证金规定</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1、中标人投标保证金在招标方与中标人签订合同送合格品入厂或货品验收后20个工作日后退还。</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2、未中标人投标保证金（银行汇票、 现金、转账）于中标通知书发出之日起20个工作日内退还。</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3、有下列情形之一的，投标保证金将不予退还：</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（1）投标人在规定的投标有效期内撤销或修改其投标文件。</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（2）中标人在收到中标通知书后，无正当理由拒签合同和协议书或未按招标文件规定提交履约担保。</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（3）投标人</w:t>
            </w:r>
            <w:r>
              <w:rPr>
                <w:rFonts w:asciiTheme="minorEastAsia" w:hAnsiTheme="minorEastAsia" w:eastAsiaTheme="minorEastAsia"/>
                <w:sz w:val="28"/>
                <w:szCs w:val="28"/>
              </w:rPr>
              <w:t>存在腐败或欺诈</w:t>
            </w:r>
            <w:r>
              <w:rPr>
                <w:rFonts w:hint="eastAsia" w:asciiTheme="minorEastAsia" w:hAnsiTheme="minorEastAsia" w:eastAsiaTheme="minorEastAsia"/>
                <w:sz w:val="28"/>
                <w:szCs w:val="28"/>
              </w:rPr>
              <w:t>、</w:t>
            </w:r>
            <w:r>
              <w:rPr>
                <w:rFonts w:asciiTheme="minorEastAsia" w:hAnsiTheme="minorEastAsia" w:eastAsiaTheme="minorEastAsia"/>
                <w:sz w:val="28"/>
                <w:szCs w:val="28"/>
              </w:rPr>
              <w:t>串通投标</w:t>
            </w:r>
            <w:r>
              <w:rPr>
                <w:rFonts w:hint="eastAsia" w:asciiTheme="minorEastAsia" w:hAnsiTheme="minorEastAsia" w:eastAsiaTheme="minorEastAsia"/>
                <w:sz w:val="28"/>
                <w:szCs w:val="28"/>
              </w:rPr>
              <w:t>等违法违规</w:t>
            </w:r>
            <w:r>
              <w:rPr>
                <w:rFonts w:asciiTheme="minorEastAsia" w:hAnsiTheme="minorEastAsia" w:eastAsiaTheme="minorEastAsia"/>
                <w:sz w:val="28"/>
                <w:szCs w:val="28"/>
              </w:rPr>
              <w:t>行为</w:t>
            </w:r>
            <w:r>
              <w:rPr>
                <w:rFonts w:hint="eastAsia" w:asciiTheme="minorEastAsia" w:hAnsiTheme="minorEastAsia" w:eastAsiaTheme="minorEastAsia"/>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23</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开标程序</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1、密封情况检查：由招标人或投标人代表检查。</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2、开标顺序：按递交投标文件的先后顺序或抽签。</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3、招标人在规定的开标时间和地点公开唱标，</w:t>
            </w:r>
            <w:r>
              <w:rPr>
                <w:rFonts w:asciiTheme="minorEastAsia" w:hAnsiTheme="minorEastAsia" w:eastAsiaTheme="minorEastAsia"/>
                <w:sz w:val="28"/>
                <w:szCs w:val="28"/>
              </w:rPr>
              <w:t>招标人主持开标会议</w:t>
            </w:r>
            <w:r>
              <w:rPr>
                <w:rFonts w:hint="eastAsia" w:asciiTheme="minorEastAsia" w:hAnsiTheme="minorEastAsia" w:eastAsiaTheme="minorEastAsia"/>
                <w:sz w:val="28"/>
                <w:szCs w:val="28"/>
              </w:rPr>
              <w:t>，并邀请投标人的法定代表人或委托代理人准时参加。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24</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评标委员会组建</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评标专家确定方式：招标方从衡钢评委专家库中抽取。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25</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评标</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招标方将组建评标委员会，其成员由技术、经济、法律</w:t>
            </w:r>
            <w:r>
              <w:rPr>
                <w:rFonts w:hint="eastAsia" w:asciiTheme="minorEastAsia" w:hAnsiTheme="minorEastAsia" w:eastAsiaTheme="minorEastAsia"/>
                <w:sz w:val="28"/>
                <w:szCs w:val="28"/>
              </w:rPr>
              <w:t>、财务</w:t>
            </w:r>
            <w:r>
              <w:rPr>
                <w:rFonts w:asciiTheme="minorEastAsia" w:hAnsiTheme="minorEastAsia" w:eastAsiaTheme="minorEastAsia"/>
                <w:sz w:val="28"/>
                <w:szCs w:val="28"/>
              </w:rPr>
              <w:t>等方面的专家代表组成。评标委员会对投标文件进行审查、评估和比较。</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开标后，直至向中标的投标人授予合同时止，凡与审查、澄清、评价和比较投标的有关资料及授标意见等，均不得向与评标无关其他人透露。</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在评标过程中，如果投标人试图在投标文件审查、澄清、比较及授予合同方面向招标方施加任何影响，其投标</w:t>
            </w:r>
            <w:r>
              <w:rPr>
                <w:rFonts w:hint="eastAsia" w:asciiTheme="minorEastAsia" w:hAnsiTheme="minorEastAsia" w:eastAsiaTheme="minorEastAsia"/>
                <w:sz w:val="28"/>
                <w:szCs w:val="28"/>
              </w:rPr>
              <w:t>文件</w:t>
            </w:r>
            <w:r>
              <w:rPr>
                <w:rFonts w:asciiTheme="minorEastAsia" w:hAnsiTheme="minorEastAsia" w:eastAsiaTheme="minorEastAsia"/>
                <w:sz w:val="28"/>
                <w:szCs w:val="28"/>
              </w:rPr>
              <w:t>将被拒绝</w:t>
            </w:r>
          </w:p>
          <w:p>
            <w:pPr>
              <w:pStyle w:val="63"/>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4、评标活动遵循公平、公正、科学和择优的原则。</w:t>
            </w:r>
          </w:p>
          <w:p>
            <w:pPr>
              <w:pStyle w:val="63"/>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5、评标委员会按照“评标办法”规定的评审因素、标准和程序对投标文件进行评审。 评标办法没有规定的方法、评审因素和标准，不作为评标依据。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26</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资格审查</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如果没有进行资格预审，招标方将对</w:t>
            </w:r>
            <w:r>
              <w:rPr>
                <w:rFonts w:hint="eastAsia" w:asciiTheme="minorEastAsia" w:hAnsiTheme="minorEastAsia" w:eastAsiaTheme="minorEastAsia"/>
                <w:sz w:val="28"/>
                <w:szCs w:val="28"/>
              </w:rPr>
              <w:t>评审价最低</w:t>
            </w:r>
            <w:r>
              <w:rPr>
                <w:rFonts w:asciiTheme="minorEastAsia" w:hAnsiTheme="minorEastAsia" w:eastAsiaTheme="minorEastAsia"/>
                <w:sz w:val="28"/>
                <w:szCs w:val="28"/>
              </w:rPr>
              <w:t>的投标人是否有能力履行合同义务进行审查。</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审查将根据投标人按规定提交的资格证明文件和招标方认为其它有必要的、合适的</w:t>
            </w:r>
            <w:r>
              <w:rPr>
                <w:rFonts w:hint="eastAsia" w:asciiTheme="minorEastAsia" w:hAnsiTheme="minorEastAsia" w:eastAsiaTheme="minorEastAsia"/>
                <w:sz w:val="28"/>
                <w:szCs w:val="28"/>
              </w:rPr>
              <w:t>方式（含现场考察）</w:t>
            </w:r>
            <w:r>
              <w:rPr>
                <w:rFonts w:asciiTheme="minorEastAsia" w:hAnsiTheme="minorEastAsia" w:eastAsiaTheme="minorEastAsia"/>
                <w:sz w:val="28"/>
                <w:szCs w:val="28"/>
              </w:rPr>
              <w:t>，对投标人的财务、</w:t>
            </w:r>
            <w:r>
              <w:rPr>
                <w:rFonts w:hint="eastAsia" w:asciiTheme="minorEastAsia" w:hAnsiTheme="minorEastAsia" w:eastAsiaTheme="minorEastAsia"/>
                <w:sz w:val="28"/>
                <w:szCs w:val="28"/>
              </w:rPr>
              <w:t>业绩、</w:t>
            </w:r>
            <w:r>
              <w:rPr>
                <w:rFonts w:asciiTheme="minorEastAsia" w:hAnsiTheme="minorEastAsia" w:eastAsiaTheme="minorEastAsia"/>
                <w:sz w:val="28"/>
                <w:szCs w:val="28"/>
              </w:rPr>
              <w:t>技术和生产能力等进行审查。</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如果审查通过，则将合同授予投标人；如果审查没有通过，则拒绝其投标。在此情况下，招标方将对下一个</w:t>
            </w:r>
            <w:r>
              <w:rPr>
                <w:rFonts w:hint="eastAsia" w:asciiTheme="minorEastAsia" w:hAnsiTheme="minorEastAsia" w:eastAsiaTheme="minorEastAsia"/>
                <w:sz w:val="28"/>
                <w:szCs w:val="28"/>
              </w:rPr>
              <w:t>评审价较低</w:t>
            </w:r>
            <w:r>
              <w:rPr>
                <w:rFonts w:asciiTheme="minorEastAsia" w:hAnsiTheme="minorEastAsia" w:eastAsiaTheme="minorEastAsia"/>
                <w:sz w:val="28"/>
                <w:szCs w:val="28"/>
              </w:rPr>
              <w:t>的投标人的能力作类似审查。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27</w:t>
            </w:r>
          </w:p>
        </w:tc>
        <w:tc>
          <w:tcPr>
            <w:tcW w:w="1418" w:type="dxa"/>
            <w:vAlign w:val="center"/>
          </w:tcPr>
          <w:p>
            <w:pPr>
              <w:pStyle w:val="15"/>
              <w:tabs>
                <w:tab w:val="left" w:pos="840"/>
              </w:tabs>
              <w:spacing w:after="20" w:line="300" w:lineRule="exact"/>
              <w:ind w:left="431" w:hanging="431"/>
              <w:jc w:val="left"/>
              <w:rPr>
                <w:rFonts w:asciiTheme="minorEastAsia" w:hAnsiTheme="minorEastAsia" w:eastAsiaTheme="minorEastAsia"/>
                <w:bCs/>
                <w:sz w:val="28"/>
                <w:szCs w:val="28"/>
                <w:u w:val="single"/>
              </w:rPr>
            </w:pPr>
          </w:p>
          <w:p>
            <w:pPr>
              <w:pStyle w:val="15"/>
              <w:tabs>
                <w:tab w:val="left" w:pos="840"/>
              </w:tabs>
              <w:spacing w:after="20" w:line="300" w:lineRule="exact"/>
              <w:ind w:left="431" w:hanging="431"/>
              <w:jc w:val="left"/>
              <w:rPr>
                <w:rFonts w:asciiTheme="minorEastAsia" w:hAnsiTheme="minorEastAsia" w:eastAsiaTheme="minorEastAsia"/>
                <w:bCs/>
                <w:sz w:val="28"/>
                <w:szCs w:val="28"/>
              </w:rPr>
            </w:pPr>
            <w:r>
              <w:rPr>
                <w:rFonts w:asciiTheme="minorEastAsia" w:hAnsiTheme="minorEastAsia" w:eastAsiaTheme="minorEastAsia"/>
                <w:bCs/>
                <w:sz w:val="28"/>
                <w:szCs w:val="28"/>
              </w:rPr>
              <w:t>废标原则</w:t>
            </w:r>
          </w:p>
          <w:p>
            <w:pPr>
              <w:spacing w:line="288" w:lineRule="auto"/>
              <w:jc w:val="left"/>
              <w:rPr>
                <w:rFonts w:asciiTheme="minorEastAsia" w:hAnsiTheme="minorEastAsia" w:eastAsiaTheme="minorEastAsia"/>
                <w:bCs/>
                <w:sz w:val="28"/>
                <w:szCs w:val="28"/>
              </w:rPr>
            </w:pPr>
          </w:p>
        </w:tc>
        <w:tc>
          <w:tcPr>
            <w:tcW w:w="7547" w:type="dxa"/>
            <w:gridSpan w:val="4"/>
            <w:vAlign w:val="center"/>
          </w:tcPr>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全部投标单位不具备投标资格。</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全部投标均未对招标文件</w:t>
            </w:r>
            <w:r>
              <w:rPr>
                <w:rFonts w:hint="eastAsia" w:asciiTheme="minorEastAsia" w:hAnsiTheme="minorEastAsia" w:eastAsiaTheme="minorEastAsia"/>
                <w:sz w:val="28"/>
                <w:szCs w:val="28"/>
              </w:rPr>
              <w:t>做</w:t>
            </w:r>
            <w:r>
              <w:rPr>
                <w:rFonts w:asciiTheme="minorEastAsia" w:hAnsiTheme="minorEastAsia" w:eastAsiaTheme="minorEastAsia"/>
                <w:sz w:val="28"/>
                <w:szCs w:val="28"/>
              </w:rPr>
              <w:t>出基本响应。</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投标价超过招标方的承受能力（或期望值）。</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4、</w:t>
            </w:r>
            <w:r>
              <w:rPr>
                <w:rFonts w:asciiTheme="minorEastAsia" w:hAnsiTheme="minorEastAsia" w:eastAsiaTheme="minorEastAsia"/>
                <w:sz w:val="28"/>
                <w:szCs w:val="28"/>
              </w:rPr>
              <w:t>因有效投标人不足，明显缺乏竞争力</w:t>
            </w:r>
            <w:r>
              <w:rPr>
                <w:rFonts w:hint="eastAsia" w:asciiTheme="minorEastAsia" w:hAnsiTheme="minorEastAsia" w:eastAsiaTheme="minorEastAsia"/>
                <w:sz w:val="28"/>
                <w:szCs w:val="28"/>
              </w:rPr>
              <w:t>。</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5、有串通投标或弄虚作假或有其他违法行为的。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9"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28</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合同授予</w:t>
            </w:r>
          </w:p>
        </w:tc>
        <w:tc>
          <w:tcPr>
            <w:tcW w:w="7547" w:type="dxa"/>
            <w:gridSpan w:val="4"/>
            <w:vAlign w:val="center"/>
          </w:tcPr>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招标方将把合同授予被确定为实质上响应招标文件要求的、能够满意地履行合同义务的</w:t>
            </w:r>
            <w:r>
              <w:rPr>
                <w:rFonts w:hint="eastAsia" w:asciiTheme="minorEastAsia" w:hAnsiTheme="minorEastAsia" w:eastAsiaTheme="minorEastAsia"/>
                <w:sz w:val="28"/>
                <w:szCs w:val="28"/>
              </w:rPr>
              <w:t>经评审价最低</w:t>
            </w:r>
            <w:r>
              <w:rPr>
                <w:rFonts w:asciiTheme="minorEastAsia" w:hAnsiTheme="minorEastAsia" w:eastAsiaTheme="minorEastAsia"/>
                <w:sz w:val="28"/>
                <w:szCs w:val="28"/>
              </w:rPr>
              <w:t>的</w:t>
            </w:r>
            <w:r>
              <w:rPr>
                <w:rFonts w:hint="eastAsia" w:asciiTheme="minorEastAsia" w:hAnsiTheme="minorEastAsia" w:eastAsiaTheme="minorEastAsia"/>
                <w:sz w:val="28"/>
                <w:szCs w:val="28"/>
              </w:rPr>
              <w:t>一到两个</w:t>
            </w:r>
            <w:r>
              <w:rPr>
                <w:rFonts w:asciiTheme="minorEastAsia" w:hAnsiTheme="minorEastAsia" w:eastAsiaTheme="minorEastAsia"/>
                <w:sz w:val="28"/>
                <w:szCs w:val="28"/>
              </w:rPr>
              <w:t>投标人。</w:t>
            </w:r>
            <w:r>
              <w:rPr>
                <w:rFonts w:hint="eastAsia" w:asciiTheme="minorEastAsia" w:hAnsiTheme="minorEastAsia" w:eastAsiaTheme="minorEastAsia"/>
                <w:sz w:val="28"/>
                <w:szCs w:val="28"/>
              </w:rPr>
              <w:t>当采购方将采购供货合同授予二个投标人时，采购量原则上按7：3比例进行分配；合同价为中标最低价。</w:t>
            </w:r>
          </w:p>
          <w:p>
            <w:pPr>
              <w:tabs>
                <w:tab w:val="left" w:pos="840"/>
              </w:tabs>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2、招标方有权增减采购数量，价格按招标确定的单价执行。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29</w:t>
            </w:r>
          </w:p>
        </w:tc>
        <w:tc>
          <w:tcPr>
            <w:tcW w:w="1418" w:type="dxa"/>
            <w:vAlign w:val="center"/>
          </w:tcPr>
          <w:p>
            <w:pPr>
              <w:spacing w:line="288" w:lineRule="auto"/>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合同价格</w:t>
            </w:r>
          </w:p>
        </w:tc>
        <w:tc>
          <w:tcPr>
            <w:tcW w:w="7547" w:type="dxa"/>
            <w:gridSpan w:val="4"/>
            <w:vAlign w:val="center"/>
          </w:tcPr>
          <w:p>
            <w:pPr>
              <w:tabs>
                <w:tab w:val="left" w:pos="840"/>
              </w:tabs>
              <w:adjustRightInd w:val="0"/>
              <w:snapToGrid w:val="0"/>
              <w:spacing w:line="36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合同价格为采购方现场交货价。除非技术规格书中有特别规定，如有则以技术规格书中要求为准。中标人价格包含整个货物及服务项目全部费用价格，即价格应包括制造、采购、配套、运输、安装调试（指导）、培训、有关技术服务及合同规定各种税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30</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中标通知</w:t>
            </w:r>
          </w:p>
        </w:tc>
        <w:tc>
          <w:tcPr>
            <w:tcW w:w="7547" w:type="dxa"/>
            <w:gridSpan w:val="4"/>
            <w:vAlign w:val="center"/>
          </w:tcPr>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在投标有效期期满之前，招标方将书面通知中标人中标。</w:t>
            </w:r>
          </w:p>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中标通知书将是合同的一个组成部分。</w:t>
            </w:r>
          </w:p>
          <w:p>
            <w:pPr>
              <w:spacing w:line="288"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在中标人按规定提交招标服务费后，招标方将迅速通知其他未中标的投标人，并按规定退还其投标保证金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46"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31</w:t>
            </w:r>
          </w:p>
        </w:tc>
        <w:tc>
          <w:tcPr>
            <w:tcW w:w="1418" w:type="dxa"/>
            <w:vAlign w:val="center"/>
          </w:tcPr>
          <w:p>
            <w:pPr>
              <w:spacing w:line="288" w:lineRule="auto"/>
              <w:rPr>
                <w:rFonts w:asciiTheme="minorEastAsia" w:hAnsiTheme="minorEastAsia" w:eastAsiaTheme="minorEastAsia"/>
                <w:sz w:val="28"/>
                <w:szCs w:val="28"/>
              </w:rPr>
            </w:pPr>
            <w:r>
              <w:rPr>
                <w:rFonts w:hint="eastAsia" w:asciiTheme="minorEastAsia" w:hAnsiTheme="minorEastAsia" w:eastAsiaTheme="minorEastAsia"/>
                <w:bCs/>
                <w:sz w:val="28"/>
                <w:szCs w:val="28"/>
              </w:rPr>
              <w:t>签订合同</w:t>
            </w:r>
          </w:p>
        </w:tc>
        <w:tc>
          <w:tcPr>
            <w:tcW w:w="7547" w:type="dxa"/>
            <w:gridSpan w:val="4"/>
            <w:vAlign w:val="center"/>
          </w:tcPr>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1、招标人和中标人应当自中标通知书规定时间签订合同，中标人无正当理由拒签合同的，招标人取消其中标资格，其投标保证金不予退还；给招标人造成的损失超过投标保证金数额的，中标人还应当对超过部分予以赔偿。</w:t>
            </w:r>
          </w:p>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招标文件、中标方的投标文件及评标过程中有关澄清文件均可作为合同附件。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817" w:type="dxa"/>
            <w:vMerge w:val="restart"/>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32</w:t>
            </w:r>
          </w:p>
        </w:tc>
        <w:tc>
          <w:tcPr>
            <w:tcW w:w="1418" w:type="dxa"/>
            <w:vMerge w:val="restart"/>
            <w:vAlign w:val="center"/>
          </w:tcPr>
          <w:p>
            <w:pPr>
              <w:spacing w:line="288" w:lineRule="auto"/>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中标服务费标准</w:t>
            </w:r>
          </w:p>
        </w:tc>
        <w:tc>
          <w:tcPr>
            <w:tcW w:w="7547" w:type="dxa"/>
            <w:gridSpan w:val="4"/>
            <w:vAlign w:val="center"/>
          </w:tcPr>
          <w:p>
            <w:pPr>
              <w:tabs>
                <w:tab w:val="left" w:pos="840"/>
              </w:tabs>
              <w:adjustRightInd w:val="0"/>
              <w:snapToGrid w:val="0"/>
              <w:spacing w:line="3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中标单位须向招标单位以转账方式交纳招标服务费，招标服务费采用差额定率累进计费方式收取，标准如下：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sz w:val="28"/>
                <w:szCs w:val="28"/>
              </w:rPr>
            </w:pPr>
          </w:p>
        </w:tc>
        <w:tc>
          <w:tcPr>
            <w:tcW w:w="3293" w:type="dxa"/>
            <w:vAlign w:val="center"/>
          </w:tcPr>
          <w:p>
            <w:pPr>
              <w:spacing w:line="360" w:lineRule="exact"/>
              <w:ind w:left="280" w:hanging="280" w:hangingChars="10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中标金额    </w:t>
            </w:r>
            <w:r>
              <w:rPr>
                <w:rFonts w:asciiTheme="minorEastAsia" w:hAnsiTheme="minorEastAsia" w:eastAsiaTheme="minorEastAsia"/>
                <w:sz w:val="28"/>
                <w:szCs w:val="28"/>
              </w:rPr>
              <w:t>(</w:t>
            </w:r>
            <w:r>
              <w:rPr>
                <w:rFonts w:hint="eastAsia" w:asciiTheme="minorEastAsia" w:hAnsiTheme="minorEastAsia" w:eastAsiaTheme="minorEastAsia"/>
                <w:sz w:val="28"/>
                <w:szCs w:val="28"/>
              </w:rPr>
              <w:t>万元</w:t>
            </w:r>
            <w:r>
              <w:rPr>
                <w:rFonts w:asciiTheme="minorEastAsia" w:hAnsiTheme="minorEastAsia" w:eastAsiaTheme="minorEastAsia"/>
                <w:sz w:val="28"/>
                <w:szCs w:val="28"/>
              </w:rPr>
              <w:t>)</w:t>
            </w:r>
          </w:p>
        </w:tc>
        <w:tc>
          <w:tcPr>
            <w:tcW w:w="1575"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货物</w:t>
            </w:r>
          </w:p>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招标</w:t>
            </w:r>
          </w:p>
        </w:tc>
        <w:tc>
          <w:tcPr>
            <w:tcW w:w="1369"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服务</w:t>
            </w:r>
            <w:r>
              <w:rPr>
                <w:rFonts w:hint="eastAsia" w:asciiTheme="minorEastAsia" w:hAnsiTheme="minorEastAsia" w:eastAsiaTheme="minorEastAsia"/>
                <w:sz w:val="28"/>
                <w:szCs w:val="28"/>
              </w:rPr>
              <w:t>及其它</w:t>
            </w:r>
            <w:r>
              <w:rPr>
                <w:rFonts w:asciiTheme="minorEastAsia" w:hAnsiTheme="minorEastAsia" w:eastAsiaTheme="minorEastAsia"/>
                <w:sz w:val="28"/>
                <w:szCs w:val="28"/>
              </w:rPr>
              <w:t>招标</w:t>
            </w:r>
          </w:p>
        </w:tc>
        <w:tc>
          <w:tcPr>
            <w:tcW w:w="1310"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工程</w:t>
            </w:r>
          </w:p>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100以下</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不收取</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0.75%</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100-500</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0.55%</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0.4%</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500-1000</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0.4%</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0.28%</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1000-5000</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0.25%</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0.13%</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10000以上</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0.03%</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0.03%</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05"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33</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指定账</w:t>
            </w:r>
            <w:r>
              <w:rPr>
                <w:rFonts w:asciiTheme="minorEastAsia" w:hAnsiTheme="minorEastAsia" w:eastAsiaTheme="minorEastAsia"/>
                <w:sz w:val="28"/>
                <w:szCs w:val="28"/>
              </w:rPr>
              <w:t>户</w:t>
            </w:r>
          </w:p>
        </w:tc>
        <w:tc>
          <w:tcPr>
            <w:tcW w:w="7547" w:type="dxa"/>
            <w:gridSpan w:val="4"/>
            <w:vAlign w:val="center"/>
          </w:tcPr>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投标保证金、</w:t>
            </w:r>
            <w:r>
              <w:rPr>
                <w:rFonts w:hint="eastAsia" w:asciiTheme="minorEastAsia" w:hAnsiTheme="minorEastAsia" w:eastAsiaTheme="minorEastAsia"/>
                <w:b/>
                <w:kern w:val="0"/>
                <w:sz w:val="28"/>
                <w:szCs w:val="28"/>
              </w:rPr>
              <w:t>中标服务费交款</w:t>
            </w:r>
            <w:r>
              <w:rPr>
                <w:rFonts w:hint="eastAsia" w:asciiTheme="minorEastAsia" w:hAnsiTheme="minorEastAsia" w:eastAsiaTheme="minorEastAsia"/>
                <w:b/>
                <w:sz w:val="28"/>
                <w:szCs w:val="28"/>
              </w:rPr>
              <w:t>指定账</w:t>
            </w:r>
            <w:r>
              <w:rPr>
                <w:rFonts w:asciiTheme="minorEastAsia" w:hAnsiTheme="minorEastAsia" w:eastAsiaTheme="minorEastAsia"/>
                <w:b/>
                <w:sz w:val="28"/>
                <w:szCs w:val="28"/>
              </w:rPr>
              <w:t>户</w:t>
            </w:r>
          </w:p>
          <w:p>
            <w:pPr>
              <w:jc w:val="left"/>
              <w:rPr>
                <w:rFonts w:asciiTheme="minorEastAsia" w:hAnsiTheme="minorEastAsia" w:eastAsiaTheme="minorEastAsia"/>
                <w:sz w:val="28"/>
                <w:szCs w:val="28"/>
              </w:rPr>
            </w:pPr>
            <w:r>
              <w:rPr>
                <w:rFonts w:asciiTheme="minorEastAsia" w:hAnsiTheme="minorEastAsia" w:eastAsiaTheme="minorEastAsia"/>
                <w:sz w:val="28"/>
                <w:szCs w:val="28"/>
              </w:rPr>
              <w:t>开户行：</w:t>
            </w:r>
            <w:r>
              <w:rPr>
                <w:rFonts w:hint="eastAsia" w:asciiTheme="minorEastAsia" w:hAnsiTheme="minorEastAsia" w:eastAsiaTheme="minorEastAsia"/>
                <w:sz w:val="28"/>
                <w:szCs w:val="28"/>
              </w:rPr>
              <w:t>工行衡阳银雁支行</w:t>
            </w:r>
          </w:p>
          <w:p>
            <w:pPr>
              <w:jc w:val="left"/>
              <w:rPr>
                <w:rFonts w:asciiTheme="minorEastAsia" w:hAnsiTheme="minorEastAsia" w:eastAsiaTheme="minorEastAsia"/>
                <w:sz w:val="28"/>
                <w:szCs w:val="28"/>
              </w:rPr>
            </w:pPr>
            <w:r>
              <w:rPr>
                <w:rFonts w:asciiTheme="minorEastAsia" w:hAnsiTheme="minorEastAsia" w:eastAsiaTheme="minorEastAsia"/>
                <w:sz w:val="28"/>
                <w:szCs w:val="28"/>
              </w:rPr>
              <w:t>开户名：</w:t>
            </w:r>
            <w:r>
              <w:rPr>
                <w:rFonts w:hint="eastAsia" w:asciiTheme="minorEastAsia" w:hAnsiTheme="minorEastAsia" w:eastAsiaTheme="minorEastAsia"/>
                <w:sz w:val="28"/>
                <w:szCs w:val="28"/>
              </w:rPr>
              <w:t>衡阳华菱连轧管有限公司</w:t>
            </w:r>
          </w:p>
          <w:p>
            <w:pPr>
              <w:jc w:val="left"/>
              <w:rPr>
                <w:rFonts w:asciiTheme="minorEastAsia" w:hAnsiTheme="minorEastAsia" w:eastAsiaTheme="minorEastAsia"/>
                <w:sz w:val="28"/>
                <w:szCs w:val="28"/>
              </w:rPr>
            </w:pPr>
            <w:r>
              <w:rPr>
                <w:rFonts w:asciiTheme="minorEastAsia" w:hAnsiTheme="minorEastAsia" w:eastAsiaTheme="minorEastAsia"/>
                <w:sz w:val="28"/>
                <w:szCs w:val="28"/>
              </w:rPr>
              <w:t>账  号：</w:t>
            </w:r>
            <w:r>
              <w:rPr>
                <w:rFonts w:hint="eastAsia" w:asciiTheme="minorEastAsia" w:hAnsiTheme="minorEastAsia" w:eastAsiaTheme="minorEastAsia"/>
                <w:sz w:val="28"/>
                <w:szCs w:val="28"/>
              </w:rPr>
              <w:t>1905022319020105051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766"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34</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指定邮箱</w:t>
            </w:r>
          </w:p>
        </w:tc>
        <w:tc>
          <w:tcPr>
            <w:tcW w:w="7547" w:type="dxa"/>
            <w:gridSpan w:val="4"/>
            <w:vAlign w:val="center"/>
          </w:tcPr>
          <w:p>
            <w:pPr>
              <w:spacing w:line="360" w:lineRule="exact"/>
              <w:rPr>
                <w:rFonts w:asciiTheme="minorEastAsia" w:hAnsiTheme="minorEastAsia" w:eastAsiaTheme="minorEastAsia"/>
              </w:rPr>
            </w:pPr>
            <w:r>
              <w:rPr>
                <w:rFonts w:hint="eastAsia" w:asciiTheme="minorEastAsia" w:hAnsiTheme="minorEastAsia" w:eastAsiaTheme="minorEastAsia"/>
                <w:sz w:val="28"/>
                <w:szCs w:val="28"/>
              </w:rPr>
              <w:t>1</w:t>
            </w:r>
            <w:r>
              <w:rPr>
                <w:rFonts w:hint="eastAsia" w:asciiTheme="minorEastAsia" w:hAnsiTheme="minorEastAsia" w:eastAsiaTheme="minorEastAsia"/>
              </w:rPr>
              <w:t>、</w:t>
            </w:r>
            <w:r>
              <w:rPr>
                <w:rFonts w:hint="eastAsia" w:asciiTheme="minorEastAsia" w:hAnsiTheme="minorEastAsia" w:eastAsiaTheme="minorEastAsia"/>
                <w:sz w:val="28"/>
                <w:szCs w:val="28"/>
              </w:rPr>
              <w:t>电子版</w:t>
            </w:r>
            <w:r>
              <w:rPr>
                <w:rFonts w:hint="eastAsia" w:asciiTheme="minorEastAsia" w:hAnsiTheme="minorEastAsia" w:eastAsiaTheme="minorEastAsia"/>
                <w:color w:val="FF0000"/>
                <w:sz w:val="28"/>
                <w:szCs w:val="28"/>
              </w:rPr>
              <w:t>投标文件</w:t>
            </w:r>
            <w:r>
              <w:rPr>
                <w:rFonts w:hint="eastAsia" w:asciiTheme="minorEastAsia" w:hAnsiTheme="minorEastAsia" w:eastAsiaTheme="minorEastAsia"/>
                <w:sz w:val="28"/>
                <w:szCs w:val="28"/>
              </w:rPr>
              <w:t>。邮件主题：投标文件+项目编号+投标单位名称（</w:t>
            </w:r>
            <w:r>
              <w:fldChar w:fldCharType="begin"/>
            </w:r>
            <w:r>
              <w:instrText xml:space="preserve"> HYPERLINK "mailto:hgtoubiao3@126.com" </w:instrText>
            </w:r>
            <w:r>
              <w:fldChar w:fldCharType="separate"/>
            </w:r>
            <w:r>
              <w:rPr>
                <w:rStyle w:val="43"/>
                <w:rFonts w:hint="eastAsia" w:asciiTheme="minorEastAsia" w:hAnsiTheme="minorEastAsia" w:eastAsiaTheme="minorEastAsia"/>
                <w:b/>
                <w:color w:val="FF0000"/>
                <w:sz w:val="28"/>
                <w:szCs w:val="28"/>
              </w:rPr>
              <w:t>hgtoubiao3@126.com</w:t>
            </w:r>
            <w:r>
              <w:rPr>
                <w:rStyle w:val="43"/>
                <w:rFonts w:hint="eastAsia" w:asciiTheme="minorEastAsia" w:hAnsiTheme="minorEastAsia" w:eastAsiaTheme="minorEastAsia"/>
                <w:b/>
                <w:color w:val="FF0000"/>
                <w:sz w:val="28"/>
                <w:szCs w:val="28"/>
              </w:rPr>
              <w:fldChar w:fldCharType="end"/>
            </w:r>
            <w:r>
              <w:rPr>
                <w:rFonts w:hint="eastAsia" w:asciiTheme="minorEastAsia" w:hAnsiTheme="minorEastAsia" w:eastAsiaTheme="minorEastAsia"/>
                <w:b/>
                <w:sz w:val="28"/>
                <w:szCs w:val="28"/>
              </w:rPr>
              <w:t>）</w:t>
            </w:r>
          </w:p>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rPr>
              <w:t>、</w:t>
            </w:r>
            <w:r>
              <w:rPr>
                <w:rFonts w:hint="eastAsia" w:asciiTheme="minorEastAsia" w:hAnsiTheme="minorEastAsia" w:eastAsiaTheme="minorEastAsia"/>
                <w:sz w:val="28"/>
                <w:szCs w:val="28"/>
              </w:rPr>
              <w:t>中标服务费交款凭证(照片、PDF文件)。邮件主题：开发票+项目编号+开票单位名称（</w:t>
            </w:r>
            <w:r>
              <w:fldChar w:fldCharType="begin"/>
            </w:r>
            <w:r>
              <w:instrText xml:space="preserve"> HYPERLINK "mailto:hgtoubiao@126.com" </w:instrText>
            </w:r>
            <w:r>
              <w:fldChar w:fldCharType="separate"/>
            </w:r>
            <w:r>
              <w:rPr>
                <w:rStyle w:val="43"/>
                <w:rFonts w:hint="eastAsia" w:asciiTheme="minorEastAsia" w:hAnsiTheme="minorEastAsia" w:eastAsiaTheme="minorEastAsia"/>
                <w:b/>
                <w:sz w:val="28"/>
                <w:szCs w:val="28"/>
              </w:rPr>
              <w:t>hgtoubiao@126.com</w:t>
            </w:r>
            <w:r>
              <w:rPr>
                <w:rStyle w:val="43"/>
                <w:rFonts w:hint="eastAsia" w:asciiTheme="minorEastAsia" w:hAnsiTheme="minorEastAsia" w:eastAsiaTheme="minorEastAsia"/>
                <w:b/>
                <w:sz w:val="28"/>
                <w:szCs w:val="28"/>
              </w:rPr>
              <w:fldChar w:fldCharType="end"/>
            </w:r>
            <w:r>
              <w:rPr>
                <w:rFonts w:hint="eastAsia" w:asciiTheme="minorEastAsia" w:hAnsiTheme="minorEastAsia" w:eastAsiaTheme="minorEastAsia"/>
                <w:b/>
                <w:sz w:val="28"/>
                <w:szCs w:val="28"/>
              </w:rPr>
              <w:t>）</w:t>
            </w:r>
          </w:p>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3、投标保证金退款凭证(照片、PDF文件)。邮件主题：退投标保证金+项目编号+投标单位名称（</w:t>
            </w:r>
            <w:r>
              <w:fldChar w:fldCharType="begin"/>
            </w:r>
            <w:r>
              <w:instrText xml:space="preserve"> HYPERLINK "mailto:hgtoubiao@126.com" </w:instrText>
            </w:r>
            <w:r>
              <w:fldChar w:fldCharType="separate"/>
            </w:r>
            <w:r>
              <w:rPr>
                <w:rStyle w:val="43"/>
                <w:rFonts w:hint="eastAsia" w:asciiTheme="minorEastAsia" w:hAnsiTheme="minorEastAsia" w:eastAsiaTheme="minorEastAsia"/>
                <w:b/>
                <w:sz w:val="28"/>
                <w:szCs w:val="28"/>
              </w:rPr>
              <w:t>hgtoubiao@126.com</w:t>
            </w:r>
            <w:r>
              <w:rPr>
                <w:rStyle w:val="43"/>
                <w:rFonts w:hint="eastAsia" w:asciiTheme="minorEastAsia" w:hAnsiTheme="minorEastAsia" w:eastAsiaTheme="minorEastAsia"/>
                <w:b/>
                <w:sz w:val="28"/>
                <w:szCs w:val="28"/>
              </w:rPr>
              <w:fldChar w:fldCharType="end"/>
            </w:r>
            <w:r>
              <w:rPr>
                <w:rFonts w:hint="eastAsia" w:asciiTheme="minorEastAsia" w:hAnsiTheme="minorEastAsia" w:eastAsiaTheme="minorEastAsia"/>
                <w:b/>
                <w:sz w:val="28"/>
                <w:szCs w:val="28"/>
              </w:rPr>
              <w:t>）</w:t>
            </w:r>
          </w:p>
        </w:tc>
      </w:tr>
    </w:tbl>
    <w:p>
      <w:pPr>
        <w:pStyle w:val="2"/>
        <w:spacing w:before="0" w:after="0"/>
        <w:jc w:val="center"/>
        <w:rPr>
          <w:rFonts w:asciiTheme="minorEastAsia" w:hAnsiTheme="minorEastAsia" w:eastAsiaTheme="minorEastAsia"/>
          <w:b w:val="0"/>
          <w:bCs w:val="0"/>
          <w:sz w:val="28"/>
          <w:szCs w:val="28"/>
        </w:rPr>
      </w:pPr>
    </w:p>
    <w:p>
      <w:pPr>
        <w:rPr>
          <w:rFonts w:asciiTheme="minorEastAsia" w:hAnsiTheme="minorEastAsia" w:eastAsiaTheme="minorEastAsia"/>
        </w:rPr>
      </w:pPr>
      <w:r>
        <w:rPr>
          <w:rFonts w:asciiTheme="minorEastAsia" w:hAnsiTheme="minorEastAsia" w:eastAsiaTheme="minorEastAsia"/>
        </w:rPr>
        <w:br w:type="page"/>
      </w:r>
    </w:p>
    <w:bookmarkEnd w:id="9"/>
    <w:bookmarkEnd w:id="10"/>
    <w:p>
      <w:pPr>
        <w:ind w:firstLine="4638" w:firstLineChars="1650"/>
        <w:rPr>
          <w:rFonts w:asciiTheme="minorEastAsia" w:hAnsiTheme="minorEastAsia" w:eastAsiaTheme="minorEastAsia"/>
          <w:b/>
          <w:sz w:val="28"/>
          <w:szCs w:val="28"/>
        </w:rPr>
      </w:pPr>
      <w:r>
        <w:rPr>
          <w:rFonts w:hint="eastAsia" w:asciiTheme="minorEastAsia" w:hAnsiTheme="minorEastAsia" w:eastAsiaTheme="minorEastAsia"/>
          <w:b/>
          <w:sz w:val="28"/>
          <w:szCs w:val="28"/>
        </w:rPr>
        <w:t>第三章  评标办法</w:t>
      </w:r>
    </w:p>
    <w:tbl>
      <w:tblPr>
        <w:tblStyle w:val="37"/>
        <w:tblW w:w="9162" w:type="dxa"/>
        <w:jc w:val="center"/>
        <w:tblInd w:w="0" w:type="dxa"/>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276"/>
        <w:gridCol w:w="1559"/>
        <w:gridCol w:w="5867"/>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736" w:type="dxa"/>
            <w:gridSpan w:val="2"/>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条款号</w:t>
            </w:r>
          </w:p>
        </w:tc>
        <w:tc>
          <w:tcPr>
            <w:tcW w:w="1559" w:type="dxa"/>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评审因素</w:t>
            </w:r>
          </w:p>
        </w:tc>
        <w:tc>
          <w:tcPr>
            <w:tcW w:w="5867" w:type="dxa"/>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460"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276"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形式</w:t>
            </w:r>
          </w:p>
          <w:p>
            <w:pPr>
              <w:jc w:val="center"/>
              <w:rPr>
                <w:rFonts w:asciiTheme="minorEastAsia" w:hAnsiTheme="minorEastAsia" w:eastAsiaTheme="minorEastAsia"/>
                <w:sz w:val="24"/>
              </w:rPr>
            </w:pPr>
            <w:r>
              <w:rPr>
                <w:rFonts w:hint="eastAsia" w:asciiTheme="minorEastAsia" w:hAnsiTheme="minorEastAsia" w:eastAsiaTheme="minorEastAsia"/>
                <w:sz w:val="24"/>
              </w:rPr>
              <w:t>评审</w:t>
            </w:r>
          </w:p>
        </w:tc>
        <w:tc>
          <w:tcPr>
            <w:tcW w:w="1559" w:type="dxa"/>
            <w:vAlign w:val="center"/>
          </w:tcPr>
          <w:p>
            <w:pPr>
              <w:spacing w:line="2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递交时间及地点</w:t>
            </w:r>
          </w:p>
        </w:tc>
        <w:tc>
          <w:tcPr>
            <w:tcW w:w="5867" w:type="dxa"/>
            <w:vAlign w:val="center"/>
          </w:tcPr>
          <w:p>
            <w:pPr>
              <w:spacing w:line="2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未按第一章第</w:t>
            </w:r>
            <w:r>
              <w:rPr>
                <w:rFonts w:hint="eastAsia" w:asciiTheme="minorEastAsia" w:hAnsiTheme="minorEastAsia" w:eastAsiaTheme="minorEastAsia"/>
                <w:b/>
                <w:kern w:val="0"/>
                <w:sz w:val="24"/>
              </w:rPr>
              <w:t>3</w:t>
            </w:r>
            <w:r>
              <w:rPr>
                <w:rFonts w:hint="eastAsia" w:asciiTheme="minorEastAsia" w:hAnsiTheme="minorEastAsia" w:eastAsiaTheme="minorEastAsia"/>
                <w:kern w:val="0"/>
                <w:sz w:val="24"/>
              </w:rPr>
              <w:t>项规定投递标书，则为不合格投标人。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2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装订、密封及格式</w:t>
            </w:r>
          </w:p>
        </w:tc>
        <w:tc>
          <w:tcPr>
            <w:tcW w:w="5867" w:type="dxa"/>
            <w:vAlign w:val="center"/>
          </w:tcPr>
          <w:p>
            <w:pPr>
              <w:spacing w:line="2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未按第二章第</w:t>
            </w:r>
            <w:r>
              <w:rPr>
                <w:rFonts w:hint="eastAsia" w:asciiTheme="minorEastAsia" w:hAnsiTheme="minorEastAsia" w:eastAsiaTheme="minorEastAsia"/>
                <w:b/>
                <w:kern w:val="0"/>
                <w:sz w:val="24"/>
              </w:rPr>
              <w:t>14、18、19</w:t>
            </w:r>
            <w:r>
              <w:rPr>
                <w:rFonts w:hint="eastAsia" w:asciiTheme="minorEastAsia" w:hAnsiTheme="minorEastAsia" w:eastAsiaTheme="minorEastAsia"/>
                <w:kern w:val="0"/>
                <w:sz w:val="24"/>
              </w:rPr>
              <w:t>项规定格式制作标书，则为不合格投标人。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260" w:lineRule="exact"/>
              <w:rPr>
                <w:rFonts w:asciiTheme="minorEastAsia" w:hAnsiTheme="minorEastAsia" w:eastAsiaTheme="minorEastAsia"/>
                <w:sz w:val="24"/>
              </w:rPr>
            </w:pPr>
            <w:r>
              <w:rPr>
                <w:rFonts w:hint="eastAsia" w:asciiTheme="minorEastAsia" w:hAnsiTheme="minorEastAsia" w:eastAsiaTheme="minorEastAsia"/>
                <w:sz w:val="24"/>
              </w:rPr>
              <w:t>签字盖章</w:t>
            </w:r>
          </w:p>
        </w:tc>
        <w:tc>
          <w:tcPr>
            <w:tcW w:w="5867" w:type="dxa"/>
            <w:vAlign w:val="center"/>
          </w:tcPr>
          <w:p>
            <w:pPr>
              <w:spacing w:line="260" w:lineRule="exact"/>
              <w:rPr>
                <w:rFonts w:asciiTheme="minorEastAsia" w:hAnsiTheme="minorEastAsia" w:eastAsiaTheme="minorEastAsia"/>
                <w:sz w:val="24"/>
              </w:rPr>
            </w:pPr>
            <w:r>
              <w:rPr>
                <w:rFonts w:hint="eastAsia" w:asciiTheme="minorEastAsia" w:hAnsiTheme="minorEastAsia" w:eastAsiaTheme="minorEastAsia"/>
                <w:kern w:val="0"/>
                <w:sz w:val="24"/>
              </w:rPr>
              <w:t>未按第二章第</w:t>
            </w:r>
            <w:r>
              <w:rPr>
                <w:rFonts w:hint="eastAsia" w:asciiTheme="minorEastAsia" w:hAnsiTheme="minorEastAsia" w:eastAsiaTheme="minorEastAsia"/>
                <w:b/>
                <w:kern w:val="0"/>
                <w:sz w:val="24"/>
              </w:rPr>
              <w:t>16</w:t>
            </w:r>
            <w:r>
              <w:rPr>
                <w:rFonts w:hint="eastAsia" w:asciiTheme="minorEastAsia" w:hAnsiTheme="minorEastAsia" w:eastAsiaTheme="minorEastAsia"/>
                <w:kern w:val="0"/>
                <w:sz w:val="24"/>
              </w:rPr>
              <w:t>项规定签字盖章</w:t>
            </w:r>
            <w:r>
              <w:rPr>
                <w:rFonts w:hint="eastAsia" w:asciiTheme="minorEastAsia" w:hAnsiTheme="minorEastAsia" w:eastAsiaTheme="minorEastAsia"/>
                <w:sz w:val="24"/>
              </w:rPr>
              <w:t>，则为不合格投标人。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60"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276"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资格</w:t>
            </w:r>
          </w:p>
          <w:p>
            <w:pPr>
              <w:jc w:val="center"/>
              <w:rPr>
                <w:rFonts w:asciiTheme="minorEastAsia" w:hAnsiTheme="minorEastAsia" w:eastAsiaTheme="minorEastAsia"/>
                <w:sz w:val="24"/>
              </w:rPr>
            </w:pPr>
            <w:r>
              <w:rPr>
                <w:rFonts w:hint="eastAsia" w:asciiTheme="minorEastAsia" w:hAnsiTheme="minorEastAsia" w:eastAsiaTheme="minorEastAsia"/>
                <w:sz w:val="24"/>
              </w:rPr>
              <w:t>评审</w:t>
            </w:r>
          </w:p>
        </w:tc>
        <w:tc>
          <w:tcPr>
            <w:tcW w:w="1559" w:type="dxa"/>
            <w:tcBorders>
              <w:right w:val="single" w:color="auto" w:sz="4" w:space="0"/>
            </w:tcBorders>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营业执照</w:t>
            </w:r>
          </w:p>
        </w:tc>
        <w:tc>
          <w:tcPr>
            <w:tcW w:w="5867" w:type="dxa"/>
            <w:tcBorders>
              <w:right w:val="single" w:color="auto" w:sz="4" w:space="0"/>
            </w:tcBorders>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未提供有效营业执照，</w:t>
            </w:r>
            <w:r>
              <w:rPr>
                <w:rFonts w:hint="eastAsia" w:asciiTheme="minorEastAsia" w:hAnsiTheme="minorEastAsia" w:eastAsiaTheme="minorEastAsia"/>
                <w:kern w:val="0"/>
                <w:sz w:val="24"/>
              </w:rPr>
              <w:t>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tcBorders>
              <w:right w:val="single" w:color="auto" w:sz="4" w:space="0"/>
            </w:tcBorders>
            <w:vAlign w:val="center"/>
          </w:tcPr>
          <w:p>
            <w:pPr>
              <w:rPr>
                <w:rFonts w:asciiTheme="minorEastAsia" w:hAnsiTheme="minorEastAsia" w:eastAsiaTheme="minorEastAsia"/>
                <w:sz w:val="24"/>
              </w:rPr>
            </w:pPr>
            <w:r>
              <w:rPr>
                <w:rFonts w:hint="eastAsia" w:asciiTheme="minorEastAsia" w:hAnsiTheme="minorEastAsia" w:eastAsiaTheme="minorEastAsia"/>
                <w:sz w:val="24"/>
              </w:rPr>
              <w:t>投标担保</w:t>
            </w:r>
          </w:p>
        </w:tc>
        <w:tc>
          <w:tcPr>
            <w:tcW w:w="5867" w:type="dxa"/>
            <w:tcBorders>
              <w:right w:val="single" w:color="auto" w:sz="4" w:space="0"/>
            </w:tcBorders>
            <w:vAlign w:val="center"/>
          </w:tcPr>
          <w:p>
            <w:pPr>
              <w:spacing w:line="192" w:lineRule="auto"/>
              <w:rPr>
                <w:rFonts w:asciiTheme="minorEastAsia" w:hAnsiTheme="minorEastAsia" w:eastAsiaTheme="minorEastAsia"/>
                <w:kern w:val="0"/>
                <w:sz w:val="24"/>
              </w:rPr>
            </w:pPr>
            <w:r>
              <w:rPr>
                <w:rFonts w:hint="eastAsia" w:asciiTheme="minorEastAsia" w:hAnsiTheme="minorEastAsia" w:eastAsiaTheme="minorEastAsia"/>
                <w:sz w:val="24"/>
              </w:rPr>
              <w:t>未按第二章第</w:t>
            </w:r>
            <w:r>
              <w:rPr>
                <w:rFonts w:hint="eastAsia" w:asciiTheme="minorEastAsia" w:hAnsiTheme="minorEastAsia" w:eastAsiaTheme="minorEastAsia"/>
                <w:b/>
                <w:sz w:val="24"/>
              </w:rPr>
              <w:t>21</w:t>
            </w:r>
            <w:r>
              <w:rPr>
                <w:rFonts w:hint="eastAsia" w:asciiTheme="minorEastAsia" w:hAnsiTheme="minorEastAsia" w:eastAsiaTheme="minorEastAsia"/>
                <w:sz w:val="24"/>
              </w:rPr>
              <w:t>项规定</w:t>
            </w:r>
            <w:r>
              <w:rPr>
                <w:rFonts w:hint="eastAsia" w:asciiTheme="minorEastAsia" w:hAnsiTheme="minorEastAsia" w:eastAsiaTheme="minorEastAsia"/>
                <w:kern w:val="0"/>
                <w:sz w:val="24"/>
              </w:rPr>
              <w:t>提交担保，则为不合格投标人。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tcBorders>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投标人资格</w:t>
            </w:r>
          </w:p>
        </w:tc>
        <w:tc>
          <w:tcPr>
            <w:tcW w:w="5867" w:type="dxa"/>
            <w:tcBorders>
              <w:right w:val="single" w:color="auto" w:sz="4" w:space="0"/>
            </w:tcBorders>
            <w:vAlign w:val="center"/>
          </w:tcPr>
          <w:p>
            <w:pPr>
              <w:spacing w:line="192" w:lineRule="auto"/>
              <w:rPr>
                <w:rFonts w:hint="eastAsia" w:asciiTheme="minorEastAsia" w:hAnsiTheme="minorEastAsia" w:eastAsiaTheme="minorEastAsia"/>
                <w:sz w:val="24"/>
              </w:rPr>
            </w:pPr>
            <w:r>
              <w:rPr>
                <w:rFonts w:hint="eastAsia" w:asciiTheme="minorEastAsia" w:hAnsiTheme="minorEastAsia" w:eastAsiaTheme="minorEastAsia"/>
                <w:sz w:val="24"/>
              </w:rPr>
              <w:t>未满足第一章中投标人资格要求的，则为不合格投标人。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460"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276"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响应</w:t>
            </w:r>
          </w:p>
          <w:p>
            <w:pPr>
              <w:jc w:val="center"/>
              <w:rPr>
                <w:rFonts w:asciiTheme="minorEastAsia" w:hAnsiTheme="minorEastAsia" w:eastAsiaTheme="minorEastAsia"/>
                <w:sz w:val="24"/>
              </w:rPr>
            </w:pPr>
            <w:r>
              <w:rPr>
                <w:rFonts w:hint="eastAsia" w:asciiTheme="minorEastAsia" w:hAnsiTheme="minorEastAsia" w:eastAsiaTheme="minorEastAsia"/>
                <w:sz w:val="24"/>
              </w:rPr>
              <w:t>评审</w:t>
            </w: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交货时间</w:t>
            </w:r>
          </w:p>
        </w:tc>
        <w:tc>
          <w:tcPr>
            <w:tcW w:w="5867"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kern w:val="0"/>
                <w:sz w:val="24"/>
              </w:rPr>
              <w:t>交货时间偏离且不被招标方接受，则报价无效。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生产厂家</w:t>
            </w:r>
          </w:p>
        </w:tc>
        <w:tc>
          <w:tcPr>
            <w:tcW w:w="5867"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kern w:val="0"/>
                <w:sz w:val="24"/>
              </w:rPr>
              <w:t>要求全称填写，不能简写、</w:t>
            </w:r>
            <w:r>
              <w:rPr>
                <w:rFonts w:asciiTheme="minorEastAsia" w:hAnsiTheme="minorEastAsia" w:eastAsiaTheme="minorEastAsia"/>
                <w:kern w:val="0"/>
                <w:sz w:val="24"/>
              </w:rPr>
              <w:t>音译</w:t>
            </w:r>
            <w:r>
              <w:rPr>
                <w:rFonts w:hint="eastAsia" w:asciiTheme="minorEastAsia" w:hAnsiTheme="minorEastAsia" w:eastAsiaTheme="minorEastAsia"/>
                <w:kern w:val="0"/>
                <w:sz w:val="24"/>
              </w:rPr>
              <w:t>、错别字等问题且须在市场监督管理局登记备案，否则报价无效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报价有效性</w:t>
            </w:r>
          </w:p>
        </w:tc>
        <w:tc>
          <w:tcPr>
            <w:tcW w:w="5867"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kern w:val="0"/>
                <w:sz w:val="24"/>
              </w:rPr>
              <w:t>报价远低于市场成本</w:t>
            </w:r>
            <w:r>
              <w:rPr>
                <w:rFonts w:hint="eastAsia" w:asciiTheme="minorEastAsia" w:hAnsiTheme="minorEastAsia" w:eastAsiaTheme="minorEastAsia"/>
                <w:sz w:val="24"/>
              </w:rPr>
              <w:t>或</w:t>
            </w:r>
            <w:r>
              <w:rPr>
                <w:rFonts w:hint="eastAsia" w:asciiTheme="minorEastAsia" w:hAnsiTheme="minorEastAsia" w:eastAsiaTheme="minorEastAsia"/>
                <w:kern w:val="0"/>
                <w:sz w:val="24"/>
              </w:rPr>
              <w:t>有明显错误的，则报价无效。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技术要求</w:t>
            </w:r>
          </w:p>
        </w:tc>
        <w:tc>
          <w:tcPr>
            <w:tcW w:w="5867"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kern w:val="0"/>
                <w:sz w:val="24"/>
              </w:rPr>
              <w:t>技术要求偏离且不被招标方接受，则报价无效。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693" w:hRule="atLeast"/>
          <w:jc w:val="center"/>
        </w:trPr>
        <w:tc>
          <w:tcPr>
            <w:tcW w:w="460"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27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中标</w:t>
            </w:r>
          </w:p>
          <w:p>
            <w:pPr>
              <w:jc w:val="center"/>
              <w:rPr>
                <w:rFonts w:asciiTheme="minorEastAsia" w:hAnsiTheme="minorEastAsia" w:eastAsiaTheme="minorEastAsia"/>
                <w:sz w:val="24"/>
              </w:rPr>
            </w:pPr>
            <w:r>
              <w:rPr>
                <w:rFonts w:hint="eastAsia" w:asciiTheme="minorEastAsia" w:hAnsiTheme="minorEastAsia" w:eastAsiaTheme="minorEastAsia"/>
                <w:sz w:val="24"/>
              </w:rPr>
              <w:t>推荐</w:t>
            </w: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中标排序</w:t>
            </w:r>
          </w:p>
        </w:tc>
        <w:tc>
          <w:tcPr>
            <w:tcW w:w="5867" w:type="dxa"/>
            <w:vAlign w:val="center"/>
          </w:tcPr>
          <w:p>
            <w:pPr>
              <w:tabs>
                <w:tab w:val="left" w:pos="0"/>
                <w:tab w:val="left" w:pos="840"/>
              </w:tabs>
              <w:adjustRightInd w:val="0"/>
              <w:snapToGrid w:val="0"/>
              <w:rPr>
                <w:rFonts w:asciiTheme="minorEastAsia" w:hAnsiTheme="minorEastAsia" w:eastAsiaTheme="minorEastAsia"/>
                <w:sz w:val="24"/>
              </w:rPr>
            </w:pPr>
            <w:r>
              <w:rPr>
                <w:rFonts w:hint="eastAsia" w:asciiTheme="minorEastAsia" w:hAnsiTheme="minorEastAsia" w:eastAsiaTheme="minorEastAsia"/>
                <w:sz w:val="24"/>
              </w:rPr>
              <w:t>经评审合格的投标人，按有效价格由低到高排名。价格最低的投标人为第一中标候选人，次低为第二中标候选人，依次类推。招标方根据评审情况，可将供货合同授予一个投标单位也可将供货合同分别授予二个投标单位，当招标方将供货合同授予二个不同的投标单位时，供货数量按7：3比例进行分配，合同价为中标单位的最低价。</w:t>
            </w:r>
          </w:p>
        </w:tc>
      </w:tr>
    </w:tbl>
    <w:p>
      <w:pPr>
        <w:pStyle w:val="35"/>
        <w:ind w:firstLine="2570" w:firstLineChars="800"/>
        <w:jc w:val="both"/>
        <w:rPr>
          <w:rFonts w:hint="eastAsia" w:asciiTheme="minorEastAsia" w:hAnsiTheme="minorEastAsia" w:eastAsiaTheme="minorEastAsia"/>
          <w:szCs w:val="32"/>
        </w:rPr>
      </w:pPr>
      <w:bookmarkStart w:id="11" w:name="_Toc307839279"/>
      <w:bookmarkStart w:id="12" w:name="_Toc178419005"/>
      <w:bookmarkStart w:id="13" w:name="_Toc1544815"/>
    </w:p>
    <w:p>
      <w:pPr>
        <w:pStyle w:val="35"/>
        <w:ind w:firstLine="2570" w:firstLineChars="800"/>
        <w:jc w:val="both"/>
        <w:rPr>
          <w:rFonts w:hint="eastAsia" w:asciiTheme="minorEastAsia" w:hAnsiTheme="minorEastAsia" w:eastAsiaTheme="minorEastAsia"/>
          <w:szCs w:val="32"/>
        </w:rPr>
      </w:pPr>
    </w:p>
    <w:p>
      <w:pPr>
        <w:pStyle w:val="35"/>
        <w:ind w:firstLine="2570" w:firstLineChars="800"/>
        <w:jc w:val="both"/>
        <w:rPr>
          <w:rFonts w:hint="eastAsia" w:asciiTheme="minorEastAsia" w:hAnsiTheme="minorEastAsia" w:eastAsiaTheme="minorEastAsia"/>
          <w:szCs w:val="32"/>
        </w:rPr>
      </w:pPr>
    </w:p>
    <w:p>
      <w:pPr>
        <w:pStyle w:val="35"/>
        <w:ind w:firstLine="2570" w:firstLineChars="800"/>
        <w:jc w:val="both"/>
        <w:rPr>
          <w:rFonts w:hint="eastAsia" w:asciiTheme="minorEastAsia" w:hAnsiTheme="minorEastAsia" w:eastAsiaTheme="minorEastAsia"/>
          <w:szCs w:val="32"/>
        </w:rPr>
      </w:pPr>
    </w:p>
    <w:p>
      <w:pPr>
        <w:pStyle w:val="35"/>
        <w:ind w:firstLine="2570" w:firstLineChars="800"/>
        <w:jc w:val="both"/>
        <w:rPr>
          <w:rFonts w:hint="eastAsia" w:asciiTheme="minorEastAsia" w:hAnsiTheme="minorEastAsia" w:eastAsiaTheme="minorEastAsia"/>
          <w:szCs w:val="32"/>
        </w:rPr>
      </w:pPr>
    </w:p>
    <w:p>
      <w:pPr>
        <w:pStyle w:val="35"/>
        <w:ind w:firstLine="2570" w:firstLineChars="800"/>
        <w:jc w:val="both"/>
        <w:rPr>
          <w:rFonts w:hint="eastAsia" w:eastAsia="黑体"/>
          <w:bCs/>
          <w:color w:val="000000"/>
          <w:sz w:val="28"/>
          <w:szCs w:val="28"/>
          <w:lang w:val="en-US" w:eastAsia="zh-CN"/>
        </w:rPr>
      </w:pPr>
      <w:r>
        <w:rPr>
          <w:rFonts w:hint="eastAsia" w:asciiTheme="minorEastAsia" w:hAnsiTheme="minorEastAsia" w:eastAsiaTheme="minorEastAsia"/>
          <w:szCs w:val="32"/>
        </w:rPr>
        <w:t>第四章  技术规格及要求</w:t>
      </w:r>
      <w:bookmarkEnd w:id="11"/>
      <w:bookmarkEnd w:id="12"/>
    </w:p>
    <w:p/>
    <w:p>
      <w:pPr>
        <w:numPr>
          <w:ilvl w:val="0"/>
          <w:numId w:val="3"/>
        </w:numPr>
        <w:spacing w:before="125" w:line="180" w:lineRule="auto"/>
        <w:rPr>
          <w:rFonts w:ascii="Microsoft JhengHei" w:hAnsi="Microsoft JhengHei" w:eastAsia="Microsoft JhengHei" w:cs="Microsoft JhengHei"/>
          <w:spacing w:val="13"/>
          <w:sz w:val="29"/>
          <w:szCs w:val="29"/>
        </w:rPr>
      </w:pPr>
      <w:r>
        <w:rPr>
          <w:rFonts w:ascii="宋体" w:hAnsi="宋体"/>
          <w:b/>
          <w:bCs/>
          <w:color w:val="000000"/>
          <w:sz w:val="24"/>
        </w:rPr>
        <w:t>技术要求</w:t>
      </w:r>
      <w:r>
        <w:rPr>
          <w:rFonts w:ascii="Microsoft JhengHei" w:hAnsi="Microsoft JhengHei" w:eastAsia="Microsoft JhengHei" w:cs="Microsoft JhengHei"/>
          <w:spacing w:val="13"/>
          <w:sz w:val="29"/>
          <w:szCs w:val="29"/>
        </w:rPr>
        <w:t xml:space="preserve">   </w:t>
      </w:r>
    </w:p>
    <w:p>
      <w:pPr>
        <w:spacing w:before="125" w:line="180" w:lineRule="auto"/>
        <w:ind w:firstLine="3520"/>
        <w:rPr>
          <w:rFonts w:ascii="Arial"/>
          <w:sz w:val="21"/>
        </w:rPr>
      </w:pPr>
      <w:r>
        <w:rPr>
          <w:rFonts w:ascii="Microsoft JhengHei" w:hAnsi="Microsoft JhengHei" w:eastAsia="Microsoft JhengHei" w:cs="Microsoft JhengHei"/>
          <w:spacing w:val="13"/>
          <w:sz w:val="29"/>
          <w:szCs w:val="29"/>
        </w:rPr>
        <w:t xml:space="preserve">  </w:t>
      </w:r>
      <w:r>
        <w:rPr>
          <w:rFonts w:ascii="Microsoft JhengHei" w:hAnsi="Microsoft JhengHei" w:eastAsia="Microsoft JhengHei" w:cs="Microsoft JhengHei"/>
          <w:spacing w:val="-6"/>
          <w:sz w:val="29"/>
          <w:szCs w:val="29"/>
        </w:rPr>
        <w:t>镁</w:t>
      </w:r>
      <w:r>
        <w:rPr>
          <w:rFonts w:ascii="Microsoft JhengHei" w:hAnsi="Microsoft JhengHei" w:eastAsia="Microsoft JhengHei" w:cs="Microsoft JhengHei"/>
          <w:spacing w:val="14"/>
          <w:sz w:val="29"/>
          <w:szCs w:val="29"/>
        </w:rPr>
        <w:t xml:space="preserve">    </w:t>
      </w:r>
      <w:r>
        <w:rPr>
          <w:rFonts w:ascii="Microsoft JhengHei" w:hAnsi="Microsoft JhengHei" w:eastAsia="Microsoft JhengHei" w:cs="Microsoft JhengHei"/>
          <w:spacing w:val="-6"/>
          <w:sz w:val="29"/>
          <w:szCs w:val="29"/>
        </w:rPr>
        <w:t>砂</w:t>
      </w:r>
    </w:p>
    <w:p>
      <w:pPr>
        <w:spacing w:line="245" w:lineRule="auto"/>
        <w:rPr>
          <w:rFonts w:ascii="Arial"/>
          <w:sz w:val="21"/>
        </w:rPr>
      </w:pPr>
    </w:p>
    <w:p>
      <w:pPr>
        <w:spacing w:before="82" w:line="180" w:lineRule="auto"/>
        <w:ind w:firstLine="24"/>
        <w:rPr>
          <w:rFonts w:ascii="Microsoft JhengHei" w:hAnsi="Microsoft JhengHei" w:eastAsia="Microsoft JhengHei" w:cs="Microsoft JhengHei"/>
          <w:sz w:val="19"/>
          <w:szCs w:val="19"/>
        </w:rPr>
      </w:pPr>
      <w:r>
        <w:rPr>
          <w:rFonts w:ascii="Microsoft JhengHei" w:hAnsi="Microsoft JhengHei" w:eastAsia="Microsoft JhengHei" w:cs="Microsoft JhengHei"/>
          <w:spacing w:val="-16"/>
          <w:w w:val="84"/>
          <w:position w:val="-2"/>
          <w:sz w:val="19"/>
          <w:szCs w:val="19"/>
        </w:rPr>
        <w:t>１</w:t>
      </w:r>
      <w:r>
        <w:rPr>
          <w:rFonts w:ascii="Microsoft JhengHei" w:hAnsi="Microsoft JhengHei" w:eastAsia="Microsoft JhengHei" w:cs="Microsoft JhengHei"/>
          <w:spacing w:val="5"/>
          <w:position w:val="-2"/>
          <w:sz w:val="19"/>
          <w:szCs w:val="19"/>
        </w:rPr>
        <w:t xml:space="preserve">     </w:t>
      </w:r>
      <w:r>
        <w:rPr>
          <w:rFonts w:ascii="Microsoft JhengHei" w:hAnsi="Microsoft JhengHei" w:eastAsia="Microsoft JhengHei" w:cs="Microsoft JhengHei"/>
          <w:spacing w:val="-16"/>
          <w:w w:val="84"/>
          <w:sz w:val="19"/>
          <w:szCs w:val="19"/>
        </w:rPr>
        <w:t>范围</w:t>
      </w:r>
    </w:p>
    <w:p>
      <w:pPr>
        <w:spacing w:before="197" w:line="180" w:lineRule="auto"/>
        <w:ind w:firstLine="421"/>
        <w:rPr>
          <w:rFonts w:ascii="Microsoft JhengHei" w:hAnsi="Microsoft JhengHei" w:eastAsia="Microsoft JhengHei" w:cs="Microsoft JhengHei"/>
          <w:sz w:val="19"/>
          <w:szCs w:val="19"/>
        </w:rPr>
      </w:pPr>
      <w:r>
        <w:rPr>
          <w:rFonts w:ascii="Microsoft JhengHei" w:hAnsi="Microsoft JhengHei" w:eastAsia="Microsoft JhengHei" w:cs="Microsoft JhengHei"/>
          <w:spacing w:val="5"/>
          <w:sz w:val="19"/>
          <w:szCs w:val="19"/>
        </w:rPr>
        <w:t>本标准规定了烧结镁砂的牌号、技术要求、试验方法、质量评定程序和包装、标志、运输、储存及质量</w:t>
      </w:r>
    </w:p>
    <w:p>
      <w:pPr>
        <w:spacing w:line="33" w:lineRule="exact"/>
      </w:pPr>
    </w:p>
    <w:tbl>
      <w:tblPr>
        <w:tblStyle w:val="113"/>
        <w:tblW w:w="8521"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5948"/>
        <w:gridCol w:w="2573"/>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1053" w:hRule="atLeast"/>
        </w:trPr>
        <w:tc>
          <w:tcPr>
            <w:tcW w:w="5948" w:type="dxa"/>
            <w:vAlign w:val="top"/>
          </w:tcPr>
          <w:p>
            <w:pPr>
              <w:spacing w:before="46" w:line="180" w:lineRule="auto"/>
              <w:ind w:firstLine="1"/>
              <w:rPr>
                <w:rFonts w:ascii="Microsoft JhengHei" w:hAnsi="Microsoft JhengHei" w:eastAsia="Microsoft JhengHei" w:cs="Microsoft JhengHei"/>
                <w:sz w:val="19"/>
                <w:szCs w:val="19"/>
              </w:rPr>
            </w:pPr>
            <w:r>
              <w:rPr>
                <w:rFonts w:ascii="Microsoft JhengHei" w:hAnsi="Microsoft JhengHei" w:eastAsia="Microsoft JhengHei" w:cs="Microsoft JhengHei"/>
                <w:spacing w:val="10"/>
                <w:sz w:val="19"/>
                <w:szCs w:val="19"/>
              </w:rPr>
              <w:t>证明书。</w:t>
            </w:r>
          </w:p>
          <w:p>
            <w:pPr>
              <w:spacing w:before="67" w:line="464" w:lineRule="exact"/>
              <w:ind w:firstLine="421"/>
              <w:rPr>
                <w:rFonts w:ascii="Microsoft JhengHei" w:hAnsi="Microsoft JhengHei" w:eastAsia="Microsoft JhengHei" w:cs="Microsoft JhengHei"/>
                <w:sz w:val="19"/>
                <w:szCs w:val="19"/>
              </w:rPr>
            </w:pPr>
            <w:r>
              <w:rPr>
                <w:rFonts w:ascii="Microsoft JhengHei" w:hAnsi="Microsoft JhengHei" w:eastAsia="Microsoft JhengHei" w:cs="Microsoft JhengHei"/>
                <w:spacing w:val="17"/>
                <w:position w:val="19"/>
                <w:sz w:val="19"/>
                <w:szCs w:val="19"/>
              </w:rPr>
              <w:t>本标准适用于生产耐火材料用的烧结镁砂。</w:t>
            </w:r>
          </w:p>
          <w:p>
            <w:pPr>
              <w:spacing w:line="228" w:lineRule="exact"/>
              <w:rPr>
                <w:rFonts w:ascii="Microsoft JhengHei" w:hAnsi="Microsoft JhengHei" w:eastAsia="Microsoft JhengHei" w:cs="Microsoft JhengHei"/>
                <w:sz w:val="19"/>
                <w:szCs w:val="19"/>
              </w:rPr>
            </w:pPr>
            <w:r>
              <w:rPr>
                <w:rFonts w:ascii="Microsoft JhengHei" w:hAnsi="Microsoft JhengHei" w:eastAsia="Microsoft JhengHei" w:cs="Microsoft JhengHei"/>
                <w:position w:val="-1"/>
                <w:sz w:val="19"/>
                <w:szCs w:val="19"/>
              </w:rPr>
              <w:t>２</w:t>
            </w:r>
            <w:r>
              <w:rPr>
                <w:rFonts w:ascii="Microsoft JhengHei" w:hAnsi="Microsoft JhengHei" w:eastAsia="Microsoft JhengHei" w:cs="Microsoft JhengHei"/>
                <w:spacing w:val="1"/>
                <w:w w:val="101"/>
                <w:position w:val="-1"/>
                <w:sz w:val="19"/>
                <w:szCs w:val="19"/>
              </w:rPr>
              <w:t xml:space="preserve">     </w:t>
            </w:r>
            <w:r>
              <w:rPr>
                <w:rFonts w:ascii="Microsoft JhengHei" w:hAnsi="Microsoft JhengHei" w:eastAsia="Microsoft JhengHei" w:cs="Microsoft JhengHei"/>
                <w:position w:val="1"/>
                <w:sz w:val="19"/>
                <w:szCs w:val="19"/>
              </w:rPr>
              <w:t>规范性引用文件</w:t>
            </w:r>
          </w:p>
        </w:tc>
        <w:tc>
          <w:tcPr>
            <w:tcW w:w="2573" w:type="dxa"/>
            <w:vAlign w:val="top"/>
          </w:tcPr>
          <w:p>
            <w:pPr>
              <w:rPr>
                <w:rFonts w:ascii="Arial"/>
                <w:sz w:val="21"/>
              </w:rPr>
            </w:pPr>
          </w:p>
        </w:tc>
      </w:tr>
    </w:tbl>
    <w:p>
      <w:pPr>
        <w:spacing w:before="237" w:line="188" w:lineRule="auto"/>
        <w:ind w:left="19" w:right="877" w:firstLine="404"/>
        <w:rPr>
          <w:rFonts w:ascii="Microsoft JhengHei" w:hAnsi="Microsoft JhengHei" w:eastAsia="Microsoft JhengHei" w:cs="Microsoft JhengHei"/>
          <w:sz w:val="19"/>
          <w:szCs w:val="19"/>
        </w:rPr>
      </w:pPr>
      <w:r>
        <w:rPr>
          <w:rFonts w:ascii="Microsoft JhengHei" w:hAnsi="Microsoft JhengHei" w:eastAsia="Microsoft JhengHei" w:cs="Microsoft JhengHei"/>
          <w:spacing w:val="15"/>
          <w:sz w:val="19"/>
          <w:szCs w:val="19"/>
        </w:rPr>
        <w:t>下列文件中的条款通过本标准的引用而成为本标准的条款。</w:t>
      </w:r>
      <w:r>
        <w:rPr>
          <w:rFonts w:ascii="Microsoft JhengHei" w:hAnsi="Microsoft JhengHei" w:eastAsia="Microsoft JhengHei" w:cs="Microsoft JhengHei"/>
          <w:spacing w:val="58"/>
          <w:w w:val="102"/>
          <w:sz w:val="19"/>
          <w:szCs w:val="19"/>
        </w:rPr>
        <w:t xml:space="preserve"> </w:t>
      </w:r>
      <w:r>
        <w:rPr>
          <w:rFonts w:ascii="Microsoft JhengHei" w:hAnsi="Microsoft JhengHei" w:eastAsia="Microsoft JhengHei" w:cs="Microsoft JhengHei"/>
          <w:spacing w:val="15"/>
          <w:sz w:val="19"/>
          <w:szCs w:val="19"/>
        </w:rPr>
        <w:t>凡是注</w:t>
      </w:r>
      <w:r>
        <w:rPr>
          <w:rFonts w:ascii="Microsoft JhengHei" w:hAnsi="Microsoft JhengHei" w:eastAsia="Microsoft JhengHei" w:cs="Microsoft JhengHei"/>
          <w:spacing w:val="19"/>
          <w:sz w:val="19"/>
          <w:szCs w:val="19"/>
        </w:rPr>
        <w:t xml:space="preserve"> </w:t>
      </w:r>
      <w:r>
        <w:rPr>
          <w:rFonts w:ascii="Microsoft JhengHei" w:hAnsi="Microsoft JhengHei" w:eastAsia="Microsoft JhengHei" w:cs="Microsoft JhengHei"/>
          <w:spacing w:val="15"/>
          <w:sz w:val="19"/>
          <w:szCs w:val="19"/>
        </w:rPr>
        <w:t>日期的引用文件，其随后所有</w:t>
      </w:r>
      <w:r>
        <w:rPr>
          <w:rFonts w:ascii="Microsoft JhengHei" w:hAnsi="Microsoft JhengHei" w:eastAsia="Microsoft JhengHei" w:cs="Microsoft JhengHei"/>
          <w:sz w:val="19"/>
          <w:szCs w:val="19"/>
        </w:rPr>
        <w:t xml:space="preserve"> </w:t>
      </w:r>
      <w:r>
        <w:rPr>
          <w:rFonts w:ascii="Microsoft JhengHei" w:hAnsi="Microsoft JhengHei" w:eastAsia="Microsoft JhengHei" w:cs="Microsoft JhengHei"/>
          <w:spacing w:val="9"/>
          <w:sz w:val="19"/>
          <w:szCs w:val="19"/>
        </w:rPr>
        <w:t>的修改单（不包括勘误的内容）或修订版均不适用于本标准，然而，鼓励根据本标准达成协议的各方研究</w:t>
      </w:r>
    </w:p>
    <w:p>
      <w:pPr>
        <w:spacing w:before="111" w:line="230" w:lineRule="auto"/>
        <w:ind w:firstLine="3"/>
        <w:rPr>
          <w:rFonts w:ascii="Microsoft JhengHei" w:hAnsi="Microsoft JhengHei" w:eastAsia="Microsoft JhengHei" w:cs="Microsoft JhengHei"/>
          <w:sz w:val="19"/>
          <w:szCs w:val="19"/>
        </w:rPr>
      </w:pPr>
      <w:r>
        <w:rPr>
          <w:rFonts w:ascii="Microsoft JhengHei" w:hAnsi="Microsoft JhengHei" w:eastAsia="Microsoft JhengHei" w:cs="Microsoft JhengHei"/>
          <w:spacing w:val="12"/>
          <w:sz w:val="19"/>
          <w:szCs w:val="19"/>
        </w:rPr>
        <w:t>是否可使用这些文件的最新版本。</w:t>
      </w:r>
      <w:r>
        <w:rPr>
          <w:rFonts w:ascii="Microsoft JhengHei" w:hAnsi="Microsoft JhengHei" w:eastAsia="Microsoft JhengHei" w:cs="Microsoft JhengHei"/>
          <w:spacing w:val="43"/>
          <w:w w:val="102"/>
          <w:sz w:val="19"/>
          <w:szCs w:val="19"/>
        </w:rPr>
        <w:t xml:space="preserve"> </w:t>
      </w:r>
      <w:r>
        <w:rPr>
          <w:rFonts w:ascii="Microsoft JhengHei" w:hAnsi="Microsoft JhengHei" w:eastAsia="Microsoft JhengHei" w:cs="Microsoft JhengHei"/>
          <w:spacing w:val="12"/>
          <w:sz w:val="19"/>
          <w:szCs w:val="19"/>
        </w:rPr>
        <w:t>凡是不注</w:t>
      </w:r>
      <w:r>
        <w:rPr>
          <w:rFonts w:ascii="Microsoft JhengHei" w:hAnsi="Microsoft JhengHei" w:eastAsia="Microsoft JhengHei" w:cs="Microsoft JhengHei"/>
          <w:spacing w:val="13"/>
          <w:sz w:val="19"/>
          <w:szCs w:val="19"/>
        </w:rPr>
        <w:t xml:space="preserve"> </w:t>
      </w:r>
      <w:r>
        <w:rPr>
          <w:rFonts w:ascii="Microsoft JhengHei" w:hAnsi="Microsoft JhengHei" w:eastAsia="Microsoft JhengHei" w:cs="Microsoft JhengHei"/>
          <w:spacing w:val="12"/>
          <w:sz w:val="19"/>
          <w:szCs w:val="19"/>
        </w:rPr>
        <w:t>日期的引用文件，其最新版本适用于本标准。</w:t>
      </w:r>
    </w:p>
    <w:p>
      <w:pPr>
        <w:spacing w:before="1" w:line="204" w:lineRule="auto"/>
        <w:ind w:firstLine="424"/>
        <w:rPr>
          <w:rFonts w:ascii="Microsoft JhengHei" w:hAnsi="Microsoft JhengHei" w:eastAsia="Microsoft JhengHei" w:cs="Microsoft JhengHei"/>
          <w:sz w:val="19"/>
          <w:szCs w:val="19"/>
        </w:rPr>
      </w:pPr>
      <w:r>
        <w:rPr>
          <w:rFonts w:ascii="Microsoft JhengHei" w:hAnsi="Microsoft JhengHei" w:eastAsia="Microsoft JhengHei" w:cs="Microsoft JhengHei"/>
          <w:spacing w:val="-77"/>
          <w:position w:val="-1"/>
          <w:sz w:val="19"/>
          <w:szCs w:val="19"/>
        </w:rPr>
        <w:t>ＧＢ／Ｔ</w:t>
      </w:r>
      <w:r>
        <w:rPr>
          <w:rFonts w:ascii="Microsoft JhengHei" w:hAnsi="Microsoft JhengHei" w:eastAsia="Microsoft JhengHei" w:cs="Microsoft JhengHei"/>
          <w:spacing w:val="41"/>
          <w:w w:val="101"/>
          <w:position w:val="-1"/>
          <w:sz w:val="19"/>
          <w:szCs w:val="19"/>
        </w:rPr>
        <w:t xml:space="preserve"> </w:t>
      </w:r>
      <w:r>
        <w:rPr>
          <w:rFonts w:ascii="Microsoft JhengHei" w:hAnsi="Microsoft JhengHei" w:eastAsia="Microsoft JhengHei" w:cs="Microsoft JhengHei"/>
          <w:spacing w:val="-77"/>
          <w:position w:val="-2"/>
          <w:sz w:val="19"/>
          <w:szCs w:val="19"/>
        </w:rPr>
        <w:t>２００７．７</w:t>
      </w:r>
      <w:r>
        <w:rPr>
          <w:rFonts w:ascii="Microsoft JhengHei" w:hAnsi="Microsoft JhengHei" w:eastAsia="Microsoft JhengHei" w:cs="Microsoft JhengHei"/>
          <w:position w:val="-2"/>
          <w:sz w:val="19"/>
          <w:szCs w:val="19"/>
        </w:rPr>
        <w:t xml:space="preserve">     </w:t>
      </w:r>
      <w:r>
        <w:rPr>
          <w:rFonts w:ascii="Microsoft JhengHei" w:hAnsi="Microsoft JhengHei" w:eastAsia="Microsoft JhengHei" w:cs="Microsoft JhengHei"/>
          <w:spacing w:val="12"/>
          <w:sz w:val="19"/>
          <w:szCs w:val="19"/>
        </w:rPr>
        <w:t>散装矿产品取样、制样通则</w:t>
      </w:r>
      <w:r>
        <w:rPr>
          <w:rFonts w:ascii="Microsoft JhengHei" w:hAnsi="Microsoft JhengHei" w:eastAsia="Microsoft JhengHei" w:cs="Microsoft JhengHei"/>
          <w:spacing w:val="9"/>
          <w:w w:val="101"/>
          <w:sz w:val="19"/>
          <w:szCs w:val="19"/>
        </w:rPr>
        <w:t xml:space="preserve">    </w:t>
      </w:r>
      <w:r>
        <w:rPr>
          <w:rFonts w:ascii="Microsoft JhengHei" w:hAnsi="Microsoft JhengHei" w:eastAsia="Microsoft JhengHei" w:cs="Microsoft JhengHei"/>
          <w:spacing w:val="12"/>
          <w:sz w:val="19"/>
          <w:szCs w:val="19"/>
        </w:rPr>
        <w:t>粒度测定方法</w:t>
      </w:r>
      <w:r>
        <w:rPr>
          <w:rFonts w:ascii="Microsoft JhengHei" w:hAnsi="Microsoft JhengHei" w:eastAsia="Microsoft JhengHei" w:cs="Microsoft JhengHei"/>
          <w:spacing w:val="10"/>
          <w:w w:val="101"/>
          <w:sz w:val="19"/>
          <w:szCs w:val="19"/>
        </w:rPr>
        <w:t xml:space="preserve">    </w:t>
      </w:r>
      <w:r>
        <w:rPr>
          <w:rFonts w:ascii="Microsoft JhengHei" w:hAnsi="Microsoft JhengHei" w:eastAsia="Microsoft JhengHei" w:cs="Microsoft JhengHei"/>
          <w:spacing w:val="12"/>
          <w:sz w:val="19"/>
          <w:szCs w:val="19"/>
        </w:rPr>
        <w:t>手工筛分法</w:t>
      </w:r>
    </w:p>
    <w:p>
      <w:pPr>
        <w:spacing w:before="11" w:line="195" w:lineRule="auto"/>
        <w:ind w:firstLine="424"/>
        <w:rPr>
          <w:rFonts w:ascii="Microsoft JhengHei" w:hAnsi="Microsoft JhengHei" w:eastAsia="Microsoft JhengHei" w:cs="Microsoft JhengHei"/>
          <w:sz w:val="19"/>
          <w:szCs w:val="19"/>
        </w:rPr>
      </w:pPr>
      <w:r>
        <w:rPr>
          <w:rFonts w:ascii="Microsoft JhengHei" w:hAnsi="Microsoft JhengHei" w:eastAsia="Microsoft JhengHei" w:cs="Microsoft JhengHei"/>
          <w:spacing w:val="-77"/>
          <w:position w:val="-1"/>
          <w:sz w:val="19"/>
          <w:szCs w:val="19"/>
        </w:rPr>
        <w:t>ＧＢ／Ｔ</w:t>
      </w:r>
      <w:r>
        <w:rPr>
          <w:rFonts w:ascii="Microsoft JhengHei" w:hAnsi="Microsoft JhengHei" w:eastAsia="Microsoft JhengHei" w:cs="Microsoft JhengHei"/>
          <w:spacing w:val="47"/>
          <w:position w:val="-1"/>
          <w:sz w:val="19"/>
          <w:szCs w:val="19"/>
        </w:rPr>
        <w:t xml:space="preserve"> </w:t>
      </w:r>
      <w:r>
        <w:rPr>
          <w:rFonts w:ascii="Microsoft JhengHei" w:hAnsi="Microsoft JhengHei" w:eastAsia="Microsoft JhengHei" w:cs="Microsoft JhengHei"/>
          <w:spacing w:val="-77"/>
          <w:position w:val="-2"/>
          <w:sz w:val="19"/>
          <w:szCs w:val="19"/>
        </w:rPr>
        <w:t>２９９９</w:t>
      </w:r>
      <w:r>
        <w:rPr>
          <w:rFonts w:ascii="Microsoft JhengHei" w:hAnsi="Microsoft JhengHei" w:eastAsia="Microsoft JhengHei" w:cs="Microsoft JhengHei"/>
          <w:w w:val="101"/>
          <w:position w:val="-2"/>
          <w:sz w:val="19"/>
          <w:szCs w:val="19"/>
        </w:rPr>
        <w:t xml:space="preserve">     </w:t>
      </w:r>
      <w:r>
        <w:rPr>
          <w:rFonts w:ascii="Microsoft JhengHei" w:hAnsi="Microsoft JhengHei" w:eastAsia="Microsoft JhengHei" w:cs="Microsoft JhengHei"/>
          <w:spacing w:val="18"/>
          <w:sz w:val="19"/>
          <w:szCs w:val="19"/>
        </w:rPr>
        <w:t>耐火材料颗粒体积密度试验方法</w:t>
      </w:r>
    </w:p>
    <w:p>
      <w:pPr>
        <w:spacing w:before="32" w:line="180" w:lineRule="auto"/>
        <w:ind w:firstLine="424"/>
        <w:rPr>
          <w:rFonts w:ascii="Microsoft JhengHei" w:hAnsi="Microsoft JhengHei" w:eastAsia="Microsoft JhengHei" w:cs="Microsoft JhengHei"/>
          <w:sz w:val="19"/>
          <w:szCs w:val="19"/>
        </w:rPr>
      </w:pPr>
      <w:r>
        <w:rPr>
          <w:rFonts w:ascii="Microsoft JhengHei" w:hAnsi="Microsoft JhengHei" w:eastAsia="Microsoft JhengHei" w:cs="Microsoft JhengHei"/>
          <w:spacing w:val="-76"/>
          <w:position w:val="-1"/>
          <w:sz w:val="19"/>
          <w:szCs w:val="19"/>
        </w:rPr>
        <w:t>ＧＢ／Ｔ</w:t>
      </w:r>
      <w:r>
        <w:rPr>
          <w:rFonts w:ascii="Microsoft JhengHei" w:hAnsi="Microsoft JhengHei" w:eastAsia="Microsoft JhengHei" w:cs="Microsoft JhengHei"/>
          <w:spacing w:val="42"/>
          <w:position w:val="-1"/>
          <w:sz w:val="19"/>
          <w:szCs w:val="19"/>
        </w:rPr>
        <w:t xml:space="preserve"> </w:t>
      </w:r>
      <w:r>
        <w:rPr>
          <w:rFonts w:ascii="Microsoft JhengHei" w:hAnsi="Microsoft JhengHei" w:eastAsia="Microsoft JhengHei" w:cs="Microsoft JhengHei"/>
          <w:spacing w:val="-76"/>
          <w:position w:val="-2"/>
          <w:sz w:val="19"/>
          <w:szCs w:val="19"/>
        </w:rPr>
        <w:t>５０６９</w:t>
      </w:r>
      <w:r>
        <w:rPr>
          <w:rFonts w:ascii="Microsoft JhengHei" w:hAnsi="Microsoft JhengHei" w:eastAsia="Microsoft JhengHei" w:cs="Microsoft JhengHei"/>
          <w:spacing w:val="11"/>
          <w:w w:val="101"/>
          <w:position w:val="-2"/>
          <w:sz w:val="19"/>
          <w:szCs w:val="19"/>
        </w:rPr>
        <w:t xml:space="preserve">    </w:t>
      </w:r>
      <w:r>
        <w:rPr>
          <w:rFonts w:ascii="Microsoft JhengHei" w:hAnsi="Microsoft JhengHei" w:eastAsia="Microsoft JhengHei" w:cs="Microsoft JhengHei"/>
          <w:spacing w:val="18"/>
          <w:sz w:val="19"/>
          <w:szCs w:val="19"/>
        </w:rPr>
        <w:t>镁铝系耐火材料化学分析方法</w:t>
      </w:r>
    </w:p>
    <w:p>
      <w:pPr>
        <w:spacing w:before="48" w:line="180" w:lineRule="auto"/>
        <w:ind w:firstLine="424"/>
        <w:rPr>
          <w:rFonts w:ascii="Microsoft JhengHei" w:hAnsi="Microsoft JhengHei" w:eastAsia="Microsoft JhengHei" w:cs="Microsoft JhengHei"/>
          <w:sz w:val="19"/>
          <w:szCs w:val="19"/>
        </w:rPr>
      </w:pPr>
      <w:r>
        <w:rPr>
          <w:rFonts w:ascii="Microsoft JhengHei" w:hAnsi="Microsoft JhengHei" w:eastAsia="Microsoft JhengHei" w:cs="Microsoft JhengHei"/>
          <w:spacing w:val="-77"/>
          <w:position w:val="-1"/>
          <w:sz w:val="19"/>
          <w:szCs w:val="19"/>
        </w:rPr>
        <w:t>ＧＢ／Ｔ</w:t>
      </w:r>
      <w:r>
        <w:rPr>
          <w:rFonts w:ascii="Microsoft JhengHei" w:hAnsi="Microsoft JhengHei" w:eastAsia="Microsoft JhengHei" w:cs="Microsoft JhengHei"/>
          <w:spacing w:val="49"/>
          <w:position w:val="-1"/>
          <w:sz w:val="19"/>
          <w:szCs w:val="19"/>
        </w:rPr>
        <w:t xml:space="preserve"> </w:t>
      </w:r>
      <w:r>
        <w:rPr>
          <w:rFonts w:ascii="Microsoft JhengHei" w:hAnsi="Microsoft JhengHei" w:eastAsia="Microsoft JhengHei" w:cs="Microsoft JhengHei"/>
          <w:spacing w:val="-77"/>
          <w:position w:val="-2"/>
          <w:sz w:val="19"/>
          <w:szCs w:val="19"/>
        </w:rPr>
        <w:t>１７６１７</w:t>
      </w:r>
      <w:r>
        <w:rPr>
          <w:rFonts w:ascii="Microsoft JhengHei" w:hAnsi="Microsoft JhengHei" w:eastAsia="Microsoft JhengHei" w:cs="Microsoft JhengHei"/>
          <w:w w:val="101"/>
          <w:position w:val="-2"/>
          <w:sz w:val="19"/>
          <w:szCs w:val="19"/>
        </w:rPr>
        <w:t xml:space="preserve">     </w:t>
      </w:r>
      <w:r>
        <w:rPr>
          <w:rFonts w:ascii="Microsoft JhengHei" w:hAnsi="Microsoft JhengHei" w:eastAsia="Microsoft JhengHei" w:cs="Microsoft JhengHei"/>
          <w:spacing w:val="16"/>
          <w:sz w:val="19"/>
          <w:szCs w:val="19"/>
        </w:rPr>
        <w:t>耐火原料和不定形耐火材料</w:t>
      </w:r>
      <w:r>
        <w:rPr>
          <w:rFonts w:ascii="Microsoft JhengHei" w:hAnsi="Microsoft JhengHei" w:eastAsia="Microsoft JhengHei" w:cs="Microsoft JhengHei"/>
          <w:spacing w:val="9"/>
          <w:w w:val="101"/>
          <w:sz w:val="19"/>
          <w:szCs w:val="19"/>
        </w:rPr>
        <w:t xml:space="preserve">    </w:t>
      </w:r>
      <w:r>
        <w:rPr>
          <w:rFonts w:ascii="Microsoft JhengHei" w:hAnsi="Microsoft JhengHei" w:eastAsia="Microsoft JhengHei" w:cs="Microsoft JhengHei"/>
          <w:spacing w:val="16"/>
          <w:sz w:val="19"/>
          <w:szCs w:val="19"/>
        </w:rPr>
        <w:t>取样</w:t>
      </w:r>
    </w:p>
    <w:p>
      <w:pPr>
        <w:spacing w:before="48" w:line="180" w:lineRule="auto"/>
        <w:ind w:firstLine="424"/>
        <w:rPr>
          <w:rFonts w:ascii="Microsoft JhengHei" w:hAnsi="Microsoft JhengHei" w:eastAsia="Microsoft JhengHei" w:cs="Microsoft JhengHei"/>
          <w:sz w:val="19"/>
          <w:szCs w:val="19"/>
        </w:rPr>
      </w:pPr>
      <w:r>
        <w:rPr>
          <w:rFonts w:ascii="Microsoft JhengHei" w:hAnsi="Microsoft JhengHei" w:eastAsia="Microsoft JhengHei" w:cs="Microsoft JhengHei"/>
          <w:spacing w:val="-77"/>
          <w:sz w:val="19"/>
          <w:szCs w:val="19"/>
        </w:rPr>
        <w:t>ＧＢ／Ｔ</w:t>
      </w:r>
      <w:r>
        <w:rPr>
          <w:rFonts w:ascii="Microsoft JhengHei" w:hAnsi="Microsoft JhengHei" w:eastAsia="Microsoft JhengHei" w:cs="Microsoft JhengHei"/>
          <w:spacing w:val="47"/>
          <w:w w:val="101"/>
          <w:sz w:val="19"/>
          <w:szCs w:val="19"/>
        </w:rPr>
        <w:t xml:space="preserve"> </w:t>
      </w:r>
      <w:r>
        <w:rPr>
          <w:rFonts w:ascii="Microsoft JhengHei" w:hAnsi="Microsoft JhengHei" w:eastAsia="Microsoft JhengHei" w:cs="Microsoft JhengHei"/>
          <w:spacing w:val="-77"/>
          <w:position w:val="-1"/>
          <w:sz w:val="19"/>
          <w:szCs w:val="19"/>
        </w:rPr>
        <w:t>１８９３０</w:t>
      </w:r>
      <w:r>
        <w:rPr>
          <w:rFonts w:ascii="Microsoft JhengHei" w:hAnsi="Microsoft JhengHei" w:eastAsia="Microsoft JhengHei" w:cs="Microsoft JhengHei"/>
          <w:position w:val="-1"/>
          <w:sz w:val="19"/>
          <w:szCs w:val="19"/>
        </w:rPr>
        <w:t xml:space="preserve">     </w:t>
      </w:r>
      <w:r>
        <w:rPr>
          <w:rFonts w:ascii="Microsoft JhengHei" w:hAnsi="Microsoft JhengHei" w:eastAsia="Microsoft JhengHei" w:cs="Microsoft JhengHei"/>
          <w:spacing w:val="15"/>
          <w:position w:val="1"/>
          <w:sz w:val="19"/>
          <w:szCs w:val="19"/>
        </w:rPr>
        <w:t>耐火材料术语</w:t>
      </w:r>
    </w:p>
    <w:p>
      <w:pPr>
        <w:spacing w:before="46" w:line="180" w:lineRule="auto"/>
        <w:ind w:firstLine="423"/>
        <w:rPr>
          <w:rFonts w:ascii="Microsoft JhengHei" w:hAnsi="Microsoft JhengHei" w:eastAsia="Microsoft JhengHei" w:cs="Microsoft JhengHei"/>
          <w:sz w:val="19"/>
          <w:szCs w:val="19"/>
        </w:rPr>
      </w:pPr>
      <w:r>
        <w:rPr>
          <w:rFonts w:ascii="Microsoft JhengHei" w:hAnsi="Microsoft JhengHei" w:eastAsia="Microsoft JhengHei" w:cs="Microsoft JhengHei"/>
          <w:spacing w:val="-75"/>
          <w:position w:val="-1"/>
          <w:sz w:val="19"/>
          <w:szCs w:val="19"/>
        </w:rPr>
        <w:t>ＹＢ／Ｔ</w:t>
      </w:r>
      <w:r>
        <w:rPr>
          <w:rFonts w:ascii="Microsoft JhengHei" w:hAnsi="Microsoft JhengHei" w:eastAsia="Microsoft JhengHei" w:cs="Microsoft JhengHei"/>
          <w:spacing w:val="47"/>
          <w:w w:val="101"/>
          <w:position w:val="-1"/>
          <w:sz w:val="19"/>
          <w:szCs w:val="19"/>
        </w:rPr>
        <w:t xml:space="preserve"> </w:t>
      </w:r>
      <w:r>
        <w:rPr>
          <w:rFonts w:ascii="Microsoft JhengHei" w:hAnsi="Microsoft JhengHei" w:eastAsia="Microsoft JhengHei" w:cs="Microsoft JhengHei"/>
          <w:spacing w:val="-75"/>
          <w:position w:val="-2"/>
          <w:sz w:val="19"/>
          <w:szCs w:val="19"/>
        </w:rPr>
        <w:t>５１４２</w:t>
      </w:r>
      <w:r>
        <w:rPr>
          <w:rFonts w:ascii="Microsoft JhengHei" w:hAnsi="Microsoft JhengHei" w:eastAsia="Microsoft JhengHei" w:cs="Microsoft JhengHei"/>
          <w:w w:val="101"/>
          <w:position w:val="-2"/>
          <w:sz w:val="19"/>
          <w:szCs w:val="19"/>
        </w:rPr>
        <w:t xml:space="preserve">     </w:t>
      </w:r>
      <w:r>
        <w:rPr>
          <w:rFonts w:ascii="Microsoft JhengHei" w:hAnsi="Microsoft JhengHei" w:eastAsia="Microsoft JhengHei" w:cs="Microsoft JhengHei"/>
          <w:spacing w:val="13"/>
          <w:sz w:val="19"/>
          <w:szCs w:val="19"/>
        </w:rPr>
        <w:t>冶金矿产品包装、标志和质量证明书的一般规定</w:t>
      </w:r>
    </w:p>
    <w:p>
      <w:pPr>
        <w:spacing w:before="209" w:line="180" w:lineRule="auto"/>
        <w:ind w:firstLine="1"/>
        <w:rPr>
          <w:rFonts w:ascii="Microsoft JhengHei" w:hAnsi="Microsoft JhengHei" w:eastAsia="Microsoft JhengHei" w:cs="Microsoft JhengHei"/>
          <w:sz w:val="19"/>
          <w:szCs w:val="19"/>
        </w:rPr>
      </w:pPr>
      <w:r>
        <w:rPr>
          <w:rFonts w:ascii="Microsoft JhengHei" w:hAnsi="Microsoft JhengHei" w:eastAsia="Microsoft JhengHei" w:cs="Microsoft JhengHei"/>
          <w:spacing w:val="-6"/>
          <w:position w:val="-2"/>
          <w:sz w:val="19"/>
          <w:szCs w:val="19"/>
        </w:rPr>
        <w:t>３</w:t>
      </w:r>
      <w:r>
        <w:rPr>
          <w:rFonts w:ascii="Microsoft JhengHei" w:hAnsi="Microsoft JhengHei" w:eastAsia="Microsoft JhengHei" w:cs="Microsoft JhengHei"/>
          <w:w w:val="101"/>
          <w:position w:val="-2"/>
          <w:sz w:val="19"/>
          <w:szCs w:val="19"/>
        </w:rPr>
        <w:t xml:space="preserve">     </w:t>
      </w:r>
      <w:r>
        <w:rPr>
          <w:rFonts w:ascii="Microsoft JhengHei" w:hAnsi="Microsoft JhengHei" w:eastAsia="Microsoft JhengHei" w:cs="Microsoft JhengHei"/>
          <w:spacing w:val="-6"/>
          <w:sz w:val="19"/>
          <w:szCs w:val="19"/>
        </w:rPr>
        <w:t>术语和定义</w:t>
      </w:r>
    </w:p>
    <w:p>
      <w:pPr>
        <w:spacing w:before="202" w:line="223" w:lineRule="auto"/>
        <w:ind w:firstLine="424"/>
        <w:rPr>
          <w:rFonts w:ascii="Microsoft JhengHei" w:hAnsi="Microsoft JhengHei" w:eastAsia="Microsoft JhengHei" w:cs="Microsoft JhengHei"/>
          <w:sz w:val="19"/>
          <w:szCs w:val="19"/>
        </w:rPr>
      </w:pPr>
      <w:r>
        <w:rPr>
          <w:rFonts w:ascii="Microsoft JhengHei" w:hAnsi="Microsoft JhengHei" w:eastAsia="Microsoft JhengHei" w:cs="Microsoft JhengHei"/>
          <w:spacing w:val="-76"/>
          <w:position w:val="-1"/>
          <w:sz w:val="19"/>
          <w:szCs w:val="19"/>
        </w:rPr>
        <w:t>ＧＢ／Ｔ</w:t>
      </w:r>
      <w:r>
        <w:rPr>
          <w:rFonts w:ascii="Microsoft JhengHei" w:hAnsi="Microsoft JhengHei" w:eastAsia="Microsoft JhengHei" w:cs="Microsoft JhengHei"/>
          <w:spacing w:val="46"/>
          <w:position w:val="-1"/>
          <w:sz w:val="19"/>
          <w:szCs w:val="19"/>
        </w:rPr>
        <w:t xml:space="preserve"> </w:t>
      </w:r>
      <w:r>
        <w:rPr>
          <w:rFonts w:ascii="Microsoft JhengHei" w:hAnsi="Microsoft JhengHei" w:eastAsia="Microsoft JhengHei" w:cs="Microsoft JhengHei"/>
          <w:spacing w:val="-76"/>
          <w:position w:val="-2"/>
          <w:sz w:val="19"/>
          <w:szCs w:val="19"/>
        </w:rPr>
        <w:t>１８９３０</w:t>
      </w:r>
      <w:r>
        <w:rPr>
          <w:rFonts w:ascii="Microsoft JhengHei" w:hAnsi="Microsoft JhengHei" w:eastAsia="Microsoft JhengHei" w:cs="Microsoft JhengHei"/>
          <w:spacing w:val="1"/>
          <w:w w:val="101"/>
          <w:position w:val="-2"/>
          <w:sz w:val="19"/>
          <w:szCs w:val="19"/>
        </w:rPr>
        <w:t xml:space="preserve">  </w:t>
      </w:r>
      <w:r>
        <w:rPr>
          <w:rFonts w:ascii="Microsoft JhengHei" w:hAnsi="Microsoft JhengHei" w:eastAsia="Microsoft JhengHei" w:cs="Microsoft JhengHei"/>
          <w:spacing w:val="16"/>
          <w:sz w:val="19"/>
          <w:szCs w:val="19"/>
        </w:rPr>
        <w:t>中确立的以及下列术语和定义适用于本标准：</w:t>
      </w:r>
    </w:p>
    <w:p>
      <w:pPr>
        <w:spacing w:line="204" w:lineRule="auto"/>
        <w:ind w:firstLine="1"/>
        <w:rPr>
          <w:rFonts w:ascii="Microsoft JhengHei" w:hAnsi="Microsoft JhengHei" w:eastAsia="Microsoft JhengHei" w:cs="Microsoft JhengHei"/>
          <w:sz w:val="19"/>
          <w:szCs w:val="19"/>
        </w:rPr>
      </w:pPr>
      <w:r>
        <w:rPr>
          <w:rFonts w:ascii="Microsoft JhengHei" w:hAnsi="Microsoft JhengHei" w:eastAsia="Microsoft JhengHei" w:cs="Microsoft JhengHei"/>
          <w:spacing w:val="-53"/>
          <w:sz w:val="19"/>
          <w:szCs w:val="19"/>
        </w:rPr>
        <w:t>３．</w:t>
      </w:r>
      <w:r>
        <w:rPr>
          <w:rFonts w:ascii="Microsoft JhengHei" w:hAnsi="Microsoft JhengHei" w:eastAsia="Microsoft JhengHei" w:cs="Microsoft JhengHei"/>
          <w:spacing w:val="-37"/>
          <w:sz w:val="19"/>
          <w:szCs w:val="19"/>
        </w:rPr>
        <w:t xml:space="preserve"> </w:t>
      </w:r>
      <w:r>
        <w:rPr>
          <w:rFonts w:ascii="Microsoft JhengHei" w:hAnsi="Microsoft JhengHei" w:eastAsia="Microsoft JhengHei" w:cs="Microsoft JhengHei"/>
          <w:spacing w:val="-53"/>
          <w:sz w:val="19"/>
          <w:szCs w:val="19"/>
        </w:rPr>
        <w:t>１</w:t>
      </w:r>
    </w:p>
    <w:p>
      <w:pPr>
        <w:spacing w:before="44" w:line="233" w:lineRule="auto"/>
        <w:ind w:firstLine="418"/>
        <w:rPr>
          <w:rFonts w:ascii="Microsoft JhengHei" w:hAnsi="Microsoft JhengHei" w:eastAsia="Microsoft JhengHei" w:cs="Microsoft JhengHei"/>
          <w:sz w:val="19"/>
          <w:szCs w:val="19"/>
        </w:rPr>
      </w:pPr>
      <w:r>
        <w:rPr>
          <w:rFonts w:ascii="Microsoft JhengHei" w:hAnsi="Microsoft JhengHei" w:eastAsia="Microsoft JhengHei" w:cs="Microsoft JhengHei"/>
          <w:spacing w:val="7"/>
          <w:sz w:val="19"/>
          <w:szCs w:val="19"/>
        </w:rPr>
        <w:t>烧结程度不够，结构疏松。</w:t>
      </w:r>
    </w:p>
    <w:p>
      <w:pPr>
        <w:spacing w:before="1" w:line="204" w:lineRule="auto"/>
        <w:ind w:firstLine="1"/>
        <w:rPr>
          <w:rFonts w:ascii="Microsoft JhengHei" w:hAnsi="Microsoft JhengHei" w:eastAsia="Microsoft JhengHei" w:cs="Microsoft JhengHei"/>
          <w:sz w:val="19"/>
          <w:szCs w:val="19"/>
        </w:rPr>
      </w:pPr>
      <w:r>
        <w:rPr>
          <w:rFonts w:ascii="Microsoft JhengHei" w:hAnsi="Microsoft JhengHei" w:eastAsia="Microsoft JhengHei" w:cs="Microsoft JhengHei"/>
          <w:spacing w:val="-58"/>
          <w:sz w:val="19"/>
          <w:szCs w:val="19"/>
        </w:rPr>
        <w:t>３．２</w:t>
      </w:r>
    </w:p>
    <w:p>
      <w:pPr>
        <w:spacing w:before="23" w:line="478" w:lineRule="exact"/>
        <w:ind w:firstLine="423"/>
        <w:rPr>
          <w:rFonts w:ascii="Microsoft JhengHei" w:hAnsi="Microsoft JhengHei" w:eastAsia="Microsoft JhengHei" w:cs="Microsoft JhengHei"/>
          <w:sz w:val="19"/>
          <w:szCs w:val="19"/>
        </w:rPr>
      </w:pPr>
      <w:r>
        <w:rPr>
          <w:rFonts w:ascii="Microsoft JhengHei" w:hAnsi="Microsoft JhengHei" w:eastAsia="Microsoft JhengHei" w:cs="Microsoft JhengHei"/>
          <w:spacing w:val="9"/>
          <w:position w:val="20"/>
          <w:sz w:val="19"/>
          <w:szCs w:val="19"/>
        </w:rPr>
        <w:t>非镁石煅烧形成的产物，如黑块、熔瘤以及残存焦粒等。</w:t>
      </w:r>
    </w:p>
    <w:p>
      <w:pPr>
        <w:spacing w:before="1" w:line="204" w:lineRule="auto"/>
        <w:ind w:firstLine="1"/>
        <w:rPr>
          <w:rFonts w:ascii="Microsoft JhengHei" w:hAnsi="Microsoft JhengHei" w:eastAsia="Microsoft JhengHei" w:cs="Microsoft JhengHei"/>
          <w:sz w:val="19"/>
          <w:szCs w:val="19"/>
        </w:rPr>
      </w:pPr>
      <w:r>
        <w:rPr>
          <w:rFonts w:ascii="Microsoft JhengHei" w:hAnsi="Microsoft JhengHei" w:eastAsia="Microsoft JhengHei" w:cs="Microsoft JhengHei"/>
          <w:spacing w:val="-17"/>
          <w:w w:val="93"/>
          <w:position w:val="-2"/>
          <w:sz w:val="19"/>
          <w:szCs w:val="19"/>
        </w:rPr>
        <w:t>４</w:t>
      </w:r>
      <w:r>
        <w:rPr>
          <w:rFonts w:ascii="Microsoft JhengHei" w:hAnsi="Microsoft JhengHei" w:eastAsia="Microsoft JhengHei" w:cs="Microsoft JhengHei"/>
          <w:spacing w:val="11"/>
          <w:w w:val="101"/>
          <w:position w:val="-2"/>
          <w:sz w:val="19"/>
          <w:szCs w:val="19"/>
        </w:rPr>
        <w:t xml:space="preserve">    </w:t>
      </w:r>
      <w:r>
        <w:rPr>
          <w:rFonts w:ascii="Microsoft JhengHei" w:hAnsi="Microsoft JhengHei" w:eastAsia="Microsoft JhengHei" w:cs="Microsoft JhengHei"/>
          <w:spacing w:val="-17"/>
          <w:w w:val="93"/>
          <w:sz w:val="19"/>
          <w:szCs w:val="19"/>
        </w:rPr>
        <w:t>牌号</w:t>
      </w:r>
    </w:p>
    <w:p>
      <w:pPr>
        <w:spacing w:before="164" w:line="221" w:lineRule="auto"/>
        <w:ind w:left="3" w:right="877" w:firstLine="415"/>
        <w:rPr>
          <w:rFonts w:ascii="Microsoft JhengHei" w:hAnsi="Microsoft JhengHei" w:eastAsia="Microsoft JhengHei" w:cs="Microsoft JhengHei"/>
          <w:sz w:val="19"/>
          <w:szCs w:val="19"/>
        </w:rPr>
      </w:pPr>
      <w:r>
        <w:rPr>
          <w:rFonts w:ascii="Microsoft JhengHei" w:hAnsi="Microsoft JhengHei" w:eastAsia="Microsoft JhengHei" w:cs="Microsoft JhengHei"/>
          <w:spacing w:val="11"/>
          <w:sz w:val="19"/>
          <w:szCs w:val="19"/>
        </w:rPr>
        <w:t>烧结镁砂按理化指标分为</w:t>
      </w:r>
      <w:r>
        <w:rPr>
          <w:rFonts w:ascii="Microsoft JhengHei" w:hAnsi="Microsoft JhengHei" w:eastAsia="Microsoft JhengHei" w:cs="Microsoft JhengHei"/>
          <w:spacing w:val="32"/>
          <w:sz w:val="19"/>
          <w:szCs w:val="19"/>
        </w:rPr>
        <w:t xml:space="preserve"> </w:t>
      </w:r>
      <w:r>
        <w:rPr>
          <w:rFonts w:ascii="Microsoft JhengHei" w:hAnsi="Microsoft JhengHei" w:eastAsia="Microsoft JhengHei" w:cs="Microsoft JhengHei"/>
          <w:spacing w:val="-70"/>
          <w:position w:val="-2"/>
          <w:sz w:val="19"/>
          <w:szCs w:val="19"/>
        </w:rPr>
        <w:t>１４</w:t>
      </w:r>
      <w:r>
        <w:rPr>
          <w:rFonts w:ascii="Microsoft JhengHei" w:hAnsi="Microsoft JhengHei" w:eastAsia="Microsoft JhengHei" w:cs="Microsoft JhengHei"/>
          <w:spacing w:val="26"/>
          <w:w w:val="101"/>
          <w:position w:val="-2"/>
          <w:sz w:val="19"/>
          <w:szCs w:val="19"/>
        </w:rPr>
        <w:t xml:space="preserve"> </w:t>
      </w:r>
      <w:r>
        <w:rPr>
          <w:rFonts w:ascii="Microsoft JhengHei" w:hAnsi="Microsoft JhengHei" w:eastAsia="Microsoft JhengHei" w:cs="Microsoft JhengHei"/>
          <w:spacing w:val="11"/>
          <w:sz w:val="19"/>
          <w:szCs w:val="19"/>
        </w:rPr>
        <w:t>个牌号，见表</w:t>
      </w:r>
      <w:r>
        <w:rPr>
          <w:rFonts w:ascii="Microsoft JhengHei" w:hAnsi="Microsoft JhengHei" w:eastAsia="Microsoft JhengHei" w:cs="Microsoft JhengHei"/>
          <w:spacing w:val="36"/>
          <w:w w:val="101"/>
          <w:sz w:val="19"/>
          <w:szCs w:val="19"/>
        </w:rPr>
        <w:t xml:space="preserve"> </w:t>
      </w:r>
      <w:r>
        <w:rPr>
          <w:rFonts w:ascii="Microsoft JhengHei" w:hAnsi="Microsoft JhengHei" w:eastAsia="Microsoft JhengHei" w:cs="Microsoft JhengHei"/>
          <w:spacing w:val="11"/>
          <w:position w:val="-2"/>
          <w:sz w:val="19"/>
          <w:szCs w:val="19"/>
        </w:rPr>
        <w:t>１</w:t>
      </w:r>
      <w:r>
        <w:rPr>
          <w:rFonts w:ascii="Microsoft JhengHei" w:hAnsi="Microsoft JhengHei" w:eastAsia="Microsoft JhengHei" w:cs="Microsoft JhengHei"/>
          <w:spacing w:val="11"/>
          <w:sz w:val="19"/>
          <w:szCs w:val="19"/>
        </w:rPr>
        <w:t>。</w:t>
      </w:r>
      <w:r>
        <w:rPr>
          <w:rFonts w:ascii="Microsoft JhengHei" w:hAnsi="Microsoft JhengHei" w:eastAsia="Microsoft JhengHei" w:cs="Microsoft JhengHei"/>
          <w:spacing w:val="27"/>
          <w:sz w:val="19"/>
          <w:szCs w:val="19"/>
        </w:rPr>
        <w:t xml:space="preserve"> </w:t>
      </w:r>
      <w:r>
        <w:rPr>
          <w:rFonts w:ascii="Microsoft JhengHei" w:hAnsi="Microsoft JhengHei" w:eastAsia="Microsoft JhengHei" w:cs="Microsoft JhengHei"/>
          <w:spacing w:val="11"/>
          <w:sz w:val="19"/>
          <w:szCs w:val="19"/>
        </w:rPr>
        <w:t>牌号中的</w:t>
      </w:r>
      <w:r>
        <w:rPr>
          <w:rFonts w:ascii="Microsoft JhengHei" w:hAnsi="Microsoft JhengHei" w:eastAsia="Microsoft JhengHei" w:cs="Microsoft JhengHei"/>
          <w:spacing w:val="32"/>
          <w:w w:val="101"/>
          <w:sz w:val="19"/>
          <w:szCs w:val="19"/>
        </w:rPr>
        <w:t xml:space="preserve"> </w:t>
      </w:r>
      <w:r>
        <w:rPr>
          <w:rFonts w:ascii="Microsoft JhengHei" w:hAnsi="Microsoft JhengHei" w:eastAsia="Microsoft JhengHei" w:cs="Microsoft JhengHei"/>
          <w:spacing w:val="-70"/>
          <w:position w:val="-2"/>
          <w:sz w:val="19"/>
          <w:szCs w:val="19"/>
        </w:rPr>
        <w:t>ＭＳ</w:t>
      </w:r>
      <w:r>
        <w:rPr>
          <w:rFonts w:ascii="Microsoft JhengHei" w:hAnsi="Microsoft JhengHei" w:eastAsia="Microsoft JhengHei" w:cs="Microsoft JhengHei"/>
          <w:spacing w:val="29"/>
          <w:position w:val="-2"/>
          <w:sz w:val="19"/>
          <w:szCs w:val="19"/>
        </w:rPr>
        <w:t xml:space="preserve"> </w:t>
      </w:r>
      <w:r>
        <w:rPr>
          <w:rFonts w:ascii="Microsoft JhengHei" w:hAnsi="Microsoft JhengHei" w:eastAsia="Microsoft JhengHei" w:cs="Microsoft JhengHei"/>
          <w:spacing w:val="11"/>
          <w:sz w:val="19"/>
          <w:szCs w:val="19"/>
        </w:rPr>
        <w:t>为镁砂的汉语拼音字首，其后的数字</w:t>
      </w:r>
      <w:r>
        <w:rPr>
          <w:rFonts w:ascii="Microsoft JhengHei" w:hAnsi="Microsoft JhengHei" w:eastAsia="Microsoft JhengHei" w:cs="Microsoft JhengHei"/>
          <w:sz w:val="19"/>
          <w:szCs w:val="19"/>
        </w:rPr>
        <w:t xml:space="preserve"> </w:t>
      </w:r>
      <w:r>
        <w:rPr>
          <w:rFonts w:ascii="Microsoft JhengHei" w:hAnsi="Microsoft JhengHei" w:eastAsia="Microsoft JhengHei" w:cs="Microsoft JhengHei"/>
          <w:spacing w:val="14"/>
          <w:sz w:val="19"/>
          <w:szCs w:val="19"/>
        </w:rPr>
        <w:t>代表氧化镁质量百分数，数字后的字母表示同一牌号的不同等级。</w:t>
      </w:r>
    </w:p>
    <w:p>
      <w:pPr>
        <w:spacing w:before="165" w:line="180"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pacing w:val="-11"/>
          <w:position w:val="-2"/>
          <w:sz w:val="19"/>
          <w:szCs w:val="19"/>
        </w:rPr>
        <w:t>５</w:t>
      </w:r>
      <w:r>
        <w:rPr>
          <w:rFonts w:ascii="Microsoft JhengHei" w:hAnsi="Microsoft JhengHei" w:eastAsia="Microsoft JhengHei" w:cs="Microsoft JhengHei"/>
          <w:w w:val="101"/>
          <w:position w:val="-2"/>
          <w:sz w:val="19"/>
          <w:szCs w:val="19"/>
        </w:rPr>
        <w:t xml:space="preserve">     </w:t>
      </w:r>
      <w:r>
        <w:rPr>
          <w:rFonts w:ascii="Microsoft JhengHei" w:hAnsi="Microsoft JhengHei" w:eastAsia="Microsoft JhengHei" w:cs="Microsoft JhengHei"/>
          <w:spacing w:val="-11"/>
          <w:sz w:val="19"/>
          <w:szCs w:val="19"/>
        </w:rPr>
        <w:t>技术要求</w:t>
      </w:r>
    </w:p>
    <w:p>
      <w:pPr>
        <w:spacing w:before="199" w:line="213"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pacing w:val="-75"/>
          <w:w w:val="88"/>
          <w:position w:val="-2"/>
          <w:sz w:val="19"/>
          <w:szCs w:val="19"/>
        </w:rPr>
        <w:t>５．</w:t>
      </w:r>
      <w:r>
        <w:rPr>
          <w:rFonts w:ascii="Microsoft JhengHei" w:hAnsi="Microsoft JhengHei" w:eastAsia="Microsoft JhengHei" w:cs="Microsoft JhengHei"/>
          <w:spacing w:val="-38"/>
          <w:position w:val="-2"/>
          <w:sz w:val="19"/>
          <w:szCs w:val="19"/>
        </w:rPr>
        <w:t xml:space="preserve"> </w:t>
      </w:r>
      <w:r>
        <w:rPr>
          <w:rFonts w:ascii="Microsoft JhengHei" w:hAnsi="Microsoft JhengHei" w:eastAsia="Microsoft JhengHei" w:cs="Microsoft JhengHei"/>
          <w:spacing w:val="-75"/>
          <w:w w:val="88"/>
          <w:position w:val="-2"/>
          <w:sz w:val="19"/>
          <w:szCs w:val="19"/>
        </w:rPr>
        <w:t>１</w:t>
      </w:r>
      <w:r>
        <w:rPr>
          <w:rFonts w:ascii="Microsoft JhengHei" w:hAnsi="Microsoft JhengHei" w:eastAsia="Microsoft JhengHei" w:cs="Microsoft JhengHei"/>
          <w:spacing w:val="2"/>
          <w:w w:val="101"/>
          <w:position w:val="-2"/>
          <w:sz w:val="19"/>
          <w:szCs w:val="19"/>
        </w:rPr>
        <w:t xml:space="preserve">     </w:t>
      </w:r>
      <w:r>
        <w:rPr>
          <w:rFonts w:ascii="Microsoft JhengHei" w:hAnsi="Microsoft JhengHei" w:eastAsia="Microsoft JhengHei" w:cs="Microsoft JhengHei"/>
          <w:spacing w:val="7"/>
          <w:sz w:val="19"/>
          <w:szCs w:val="19"/>
        </w:rPr>
        <w:t>烧结镁砂的理化指标应符合表</w:t>
      </w:r>
      <w:r>
        <w:rPr>
          <w:rFonts w:ascii="Microsoft JhengHei" w:hAnsi="Microsoft JhengHei" w:eastAsia="Microsoft JhengHei" w:cs="Microsoft JhengHei"/>
          <w:spacing w:val="32"/>
          <w:sz w:val="19"/>
          <w:szCs w:val="19"/>
        </w:rPr>
        <w:t xml:space="preserve"> </w:t>
      </w:r>
      <w:r>
        <w:rPr>
          <w:rFonts w:ascii="Microsoft JhengHei" w:hAnsi="Microsoft JhengHei" w:eastAsia="Microsoft JhengHei" w:cs="Microsoft JhengHei"/>
          <w:spacing w:val="7"/>
          <w:position w:val="-2"/>
          <w:sz w:val="19"/>
          <w:szCs w:val="19"/>
        </w:rPr>
        <w:t>１</w:t>
      </w:r>
      <w:r>
        <w:rPr>
          <w:rFonts w:ascii="Microsoft JhengHei" w:hAnsi="Microsoft JhengHei" w:eastAsia="Microsoft JhengHei" w:cs="Microsoft JhengHei"/>
          <w:spacing w:val="2"/>
          <w:position w:val="-2"/>
          <w:sz w:val="19"/>
          <w:szCs w:val="19"/>
        </w:rPr>
        <w:t xml:space="preserve">  </w:t>
      </w:r>
      <w:r>
        <w:rPr>
          <w:rFonts w:ascii="Microsoft JhengHei" w:hAnsi="Microsoft JhengHei" w:eastAsia="Microsoft JhengHei" w:cs="Microsoft JhengHei"/>
          <w:spacing w:val="7"/>
          <w:sz w:val="19"/>
          <w:szCs w:val="19"/>
        </w:rPr>
        <w:t>的规定。</w:t>
      </w:r>
    </w:p>
    <w:p>
      <w:pPr>
        <w:spacing w:line="204"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pacing w:val="-82"/>
          <w:w w:val="96"/>
          <w:position w:val="-2"/>
          <w:sz w:val="19"/>
          <w:szCs w:val="19"/>
        </w:rPr>
        <w:t>５．２</w:t>
      </w:r>
      <w:r>
        <w:rPr>
          <w:rFonts w:ascii="Microsoft JhengHei" w:hAnsi="Microsoft JhengHei" w:eastAsia="Microsoft JhengHei" w:cs="Microsoft JhengHei"/>
          <w:spacing w:val="10"/>
          <w:position w:val="-2"/>
          <w:sz w:val="19"/>
          <w:szCs w:val="19"/>
        </w:rPr>
        <w:t xml:space="preserve">    </w:t>
      </w:r>
      <w:r>
        <w:rPr>
          <w:rFonts w:ascii="Microsoft JhengHei" w:hAnsi="Microsoft JhengHei" w:eastAsia="Microsoft JhengHei" w:cs="Microsoft JhengHei"/>
          <w:spacing w:val="17"/>
          <w:sz w:val="19"/>
          <w:szCs w:val="19"/>
        </w:rPr>
        <w:t>烧结镁砂的颗粒组成由供需双方商定。</w:t>
      </w:r>
    </w:p>
    <w:p>
      <w:pPr>
        <w:spacing w:before="15" w:line="192"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pacing w:val="-81"/>
          <w:w w:val="94"/>
          <w:position w:val="-2"/>
          <w:sz w:val="19"/>
          <w:szCs w:val="19"/>
        </w:rPr>
        <w:t>５．３</w:t>
      </w:r>
      <w:r>
        <w:rPr>
          <w:rFonts w:ascii="Microsoft JhengHei" w:hAnsi="Microsoft JhengHei" w:eastAsia="Microsoft JhengHei" w:cs="Microsoft JhengHei"/>
          <w:spacing w:val="11"/>
          <w:position w:val="-2"/>
          <w:sz w:val="19"/>
          <w:szCs w:val="19"/>
        </w:rPr>
        <w:t xml:space="preserve">    </w:t>
      </w:r>
      <w:r>
        <w:rPr>
          <w:rFonts w:ascii="Microsoft JhengHei" w:hAnsi="Microsoft JhengHei" w:eastAsia="Microsoft JhengHei" w:cs="Microsoft JhengHei"/>
          <w:spacing w:val="17"/>
          <w:sz w:val="19"/>
          <w:szCs w:val="19"/>
        </w:rPr>
        <w:t>烧结镁砂的外观应符合以下规定：</w:t>
      </w:r>
    </w:p>
    <w:p>
      <w:pPr>
        <w:spacing w:before="32" w:line="180" w:lineRule="auto"/>
        <w:ind w:firstLine="628"/>
        <w:rPr>
          <w:rFonts w:ascii="Microsoft JhengHei" w:hAnsi="Microsoft JhengHei" w:eastAsia="Microsoft JhengHei" w:cs="Microsoft JhengHei"/>
          <w:sz w:val="19"/>
          <w:szCs w:val="19"/>
        </w:rPr>
      </w:pPr>
      <w:r>
        <w:rPr>
          <w:rFonts w:ascii="Arial" w:hAnsi="Arial" w:eastAsia="Arial" w:cs="Arial"/>
          <w:spacing w:val="4"/>
          <w:position w:val="1"/>
          <w:sz w:val="19"/>
          <w:szCs w:val="19"/>
        </w:rPr>
        <w:t>—</w:t>
      </w:r>
      <w:r>
        <w:rPr>
          <w:rFonts w:ascii="Arial" w:hAnsi="Arial" w:eastAsia="Arial" w:cs="Arial"/>
          <w:spacing w:val="-26"/>
          <w:position w:val="1"/>
          <w:sz w:val="19"/>
          <w:szCs w:val="19"/>
        </w:rPr>
        <w:t xml:space="preserve"> </w:t>
      </w:r>
      <w:r>
        <w:rPr>
          <w:rFonts w:ascii="Microsoft JhengHei" w:hAnsi="Microsoft JhengHei" w:eastAsia="Microsoft JhengHei" w:cs="Microsoft JhengHei"/>
          <w:spacing w:val="-67"/>
          <w:position w:val="-1"/>
          <w:sz w:val="19"/>
          <w:szCs w:val="19"/>
        </w:rPr>
        <w:t>ＭＳ９８</w:t>
      </w:r>
      <w:r>
        <w:rPr>
          <w:rFonts w:ascii="Microsoft JhengHei" w:hAnsi="Microsoft JhengHei" w:eastAsia="Microsoft JhengHei" w:cs="Microsoft JhengHei"/>
          <w:spacing w:val="4"/>
          <w:position w:val="1"/>
          <w:sz w:val="19"/>
          <w:szCs w:val="19"/>
        </w:rPr>
        <w:t>、</w:t>
      </w:r>
      <w:r>
        <w:rPr>
          <w:rFonts w:ascii="Microsoft JhengHei" w:hAnsi="Microsoft JhengHei" w:eastAsia="Microsoft JhengHei" w:cs="Microsoft JhengHei"/>
          <w:spacing w:val="-67"/>
          <w:position w:val="-1"/>
          <w:sz w:val="19"/>
          <w:szCs w:val="19"/>
        </w:rPr>
        <w:t>ＭＳ９７</w:t>
      </w:r>
      <w:r>
        <w:rPr>
          <w:rFonts w:ascii="Microsoft JhengHei" w:hAnsi="Microsoft JhengHei" w:eastAsia="Microsoft JhengHei" w:cs="Microsoft JhengHei"/>
          <w:spacing w:val="39"/>
          <w:position w:val="-1"/>
          <w:sz w:val="19"/>
          <w:szCs w:val="19"/>
        </w:rPr>
        <w:t xml:space="preserve"> </w:t>
      </w:r>
      <w:r>
        <w:rPr>
          <w:rFonts w:ascii="Microsoft JhengHei" w:hAnsi="Microsoft JhengHei" w:eastAsia="Microsoft JhengHei" w:cs="Microsoft JhengHei"/>
          <w:spacing w:val="4"/>
          <w:position w:val="1"/>
          <w:sz w:val="19"/>
          <w:szCs w:val="19"/>
        </w:rPr>
        <w:t>和</w:t>
      </w:r>
      <w:r>
        <w:rPr>
          <w:rFonts w:ascii="Microsoft JhengHei" w:hAnsi="Microsoft JhengHei" w:eastAsia="Microsoft JhengHei" w:cs="Microsoft JhengHei"/>
          <w:spacing w:val="27"/>
          <w:position w:val="1"/>
          <w:sz w:val="19"/>
          <w:szCs w:val="19"/>
        </w:rPr>
        <w:t xml:space="preserve"> </w:t>
      </w:r>
      <w:r>
        <w:rPr>
          <w:rFonts w:ascii="Microsoft JhengHei" w:hAnsi="Microsoft JhengHei" w:eastAsia="Microsoft JhengHei" w:cs="Microsoft JhengHei"/>
          <w:spacing w:val="-67"/>
          <w:position w:val="-1"/>
          <w:sz w:val="19"/>
          <w:szCs w:val="19"/>
        </w:rPr>
        <w:t>ＭＳ９６</w:t>
      </w:r>
      <w:r>
        <w:rPr>
          <w:rFonts w:ascii="Microsoft JhengHei" w:hAnsi="Microsoft JhengHei" w:eastAsia="Microsoft JhengHei" w:cs="Microsoft JhengHei"/>
          <w:spacing w:val="36"/>
          <w:position w:val="-1"/>
          <w:sz w:val="19"/>
          <w:szCs w:val="19"/>
        </w:rPr>
        <w:t xml:space="preserve"> </w:t>
      </w:r>
      <w:r>
        <w:rPr>
          <w:rFonts w:ascii="Microsoft JhengHei" w:hAnsi="Microsoft JhengHei" w:eastAsia="Microsoft JhengHei" w:cs="Microsoft JhengHei"/>
          <w:spacing w:val="4"/>
          <w:position w:val="1"/>
          <w:sz w:val="19"/>
          <w:szCs w:val="19"/>
        </w:rPr>
        <w:t>等牌号，不得混入欠烧品和杂质；</w:t>
      </w:r>
    </w:p>
    <w:p>
      <w:pPr>
        <w:spacing w:before="46" w:line="212" w:lineRule="auto"/>
        <w:ind w:left="843" w:right="877" w:hanging="215"/>
        <w:rPr>
          <w:rFonts w:ascii="Microsoft JhengHei" w:hAnsi="Microsoft JhengHei" w:eastAsia="Microsoft JhengHei" w:cs="Microsoft JhengHei"/>
          <w:sz w:val="19"/>
          <w:szCs w:val="19"/>
        </w:rPr>
      </w:pPr>
      <w:r>
        <w:rPr>
          <w:rFonts w:ascii="Arial" w:hAnsi="Arial" w:eastAsia="Arial" w:cs="Arial"/>
          <w:spacing w:val="3"/>
          <w:position w:val="1"/>
          <w:sz w:val="19"/>
          <w:szCs w:val="19"/>
        </w:rPr>
        <w:t>—</w:t>
      </w:r>
      <w:r>
        <w:rPr>
          <w:rFonts w:ascii="Arial" w:hAnsi="Arial" w:eastAsia="Arial" w:cs="Arial"/>
          <w:spacing w:val="-11"/>
          <w:position w:val="1"/>
          <w:sz w:val="19"/>
          <w:szCs w:val="19"/>
        </w:rPr>
        <w:t xml:space="preserve"> </w:t>
      </w:r>
      <w:r>
        <w:rPr>
          <w:rFonts w:ascii="Microsoft JhengHei" w:hAnsi="Microsoft JhengHei" w:eastAsia="Microsoft JhengHei" w:cs="Microsoft JhengHei"/>
          <w:spacing w:val="-67"/>
          <w:position w:val="-1"/>
          <w:sz w:val="19"/>
          <w:szCs w:val="19"/>
        </w:rPr>
        <w:t>ＭＳ９５</w:t>
      </w:r>
      <w:r>
        <w:rPr>
          <w:rFonts w:ascii="Microsoft JhengHei" w:hAnsi="Microsoft JhengHei" w:eastAsia="Microsoft JhengHei" w:cs="Microsoft JhengHei"/>
          <w:spacing w:val="3"/>
          <w:position w:val="1"/>
          <w:sz w:val="19"/>
          <w:szCs w:val="19"/>
        </w:rPr>
        <w:t>、</w:t>
      </w:r>
      <w:r>
        <w:rPr>
          <w:rFonts w:ascii="Microsoft JhengHei" w:hAnsi="Microsoft JhengHei" w:eastAsia="Microsoft JhengHei" w:cs="Microsoft JhengHei"/>
          <w:spacing w:val="-67"/>
          <w:position w:val="-1"/>
          <w:sz w:val="19"/>
          <w:szCs w:val="19"/>
        </w:rPr>
        <w:t>ＭＳ９４</w:t>
      </w:r>
      <w:r>
        <w:rPr>
          <w:rFonts w:ascii="Microsoft JhengHei" w:hAnsi="Microsoft JhengHei" w:eastAsia="Microsoft JhengHei" w:cs="Microsoft JhengHei"/>
          <w:spacing w:val="3"/>
          <w:position w:val="1"/>
          <w:sz w:val="19"/>
          <w:szCs w:val="19"/>
        </w:rPr>
        <w:t>、</w:t>
      </w:r>
      <w:r>
        <w:rPr>
          <w:rFonts w:ascii="Microsoft JhengHei" w:hAnsi="Microsoft JhengHei" w:eastAsia="Microsoft JhengHei" w:cs="Microsoft JhengHei"/>
          <w:spacing w:val="-67"/>
          <w:position w:val="-1"/>
          <w:sz w:val="19"/>
          <w:szCs w:val="19"/>
        </w:rPr>
        <w:t>ＭＳ９２</w:t>
      </w:r>
      <w:r>
        <w:rPr>
          <w:rFonts w:ascii="Microsoft JhengHei" w:hAnsi="Microsoft JhengHei" w:eastAsia="Microsoft JhengHei" w:cs="Microsoft JhengHei"/>
          <w:spacing w:val="40"/>
          <w:position w:val="-1"/>
          <w:sz w:val="19"/>
          <w:szCs w:val="19"/>
        </w:rPr>
        <w:t xml:space="preserve"> </w:t>
      </w:r>
      <w:r>
        <w:rPr>
          <w:rFonts w:ascii="Microsoft JhengHei" w:hAnsi="Microsoft JhengHei" w:eastAsia="Microsoft JhengHei" w:cs="Microsoft JhengHei"/>
          <w:spacing w:val="3"/>
          <w:position w:val="1"/>
          <w:sz w:val="19"/>
          <w:szCs w:val="19"/>
        </w:rPr>
        <w:t>和</w:t>
      </w:r>
      <w:r>
        <w:rPr>
          <w:rFonts w:ascii="Microsoft JhengHei" w:hAnsi="Microsoft JhengHei" w:eastAsia="Microsoft JhengHei" w:cs="Microsoft JhengHei"/>
          <w:spacing w:val="20"/>
          <w:w w:val="102"/>
          <w:position w:val="1"/>
          <w:sz w:val="19"/>
          <w:szCs w:val="19"/>
        </w:rPr>
        <w:t xml:space="preserve"> </w:t>
      </w:r>
      <w:r>
        <w:rPr>
          <w:rFonts w:ascii="Microsoft JhengHei" w:hAnsi="Microsoft JhengHei" w:eastAsia="Microsoft JhengHei" w:cs="Microsoft JhengHei"/>
          <w:spacing w:val="-67"/>
          <w:position w:val="-1"/>
          <w:sz w:val="19"/>
          <w:szCs w:val="19"/>
        </w:rPr>
        <w:t>ＭＳ９０</w:t>
      </w:r>
      <w:r>
        <w:rPr>
          <w:rFonts w:ascii="Microsoft JhengHei" w:hAnsi="Microsoft JhengHei" w:eastAsia="Microsoft JhengHei" w:cs="Microsoft JhengHei"/>
          <w:spacing w:val="33"/>
          <w:position w:val="-1"/>
          <w:sz w:val="19"/>
          <w:szCs w:val="19"/>
        </w:rPr>
        <w:t xml:space="preserve"> </w:t>
      </w:r>
      <w:r>
        <w:rPr>
          <w:rFonts w:ascii="Microsoft JhengHei" w:hAnsi="Microsoft JhengHei" w:eastAsia="Microsoft JhengHei" w:cs="Microsoft JhengHei"/>
          <w:spacing w:val="3"/>
          <w:position w:val="1"/>
          <w:sz w:val="19"/>
          <w:szCs w:val="19"/>
        </w:rPr>
        <w:t>等牌号，粒度大于</w:t>
      </w:r>
      <w:r>
        <w:rPr>
          <w:rFonts w:ascii="Microsoft JhengHei" w:hAnsi="Microsoft JhengHei" w:eastAsia="Microsoft JhengHei" w:cs="Microsoft JhengHei"/>
          <w:spacing w:val="22"/>
          <w:position w:val="1"/>
          <w:sz w:val="19"/>
          <w:szCs w:val="19"/>
        </w:rPr>
        <w:t xml:space="preserve"> </w:t>
      </w:r>
      <w:r>
        <w:rPr>
          <w:rFonts w:ascii="Microsoft JhengHei" w:hAnsi="Microsoft JhengHei" w:eastAsia="Microsoft JhengHei" w:cs="Microsoft JhengHei"/>
          <w:spacing w:val="-67"/>
          <w:position w:val="-1"/>
          <w:sz w:val="19"/>
          <w:szCs w:val="19"/>
        </w:rPr>
        <w:t>３０</w:t>
      </w:r>
      <w:r>
        <w:rPr>
          <w:rFonts w:ascii="Microsoft JhengHei" w:hAnsi="Microsoft JhengHei" w:eastAsia="Microsoft JhengHei" w:cs="Microsoft JhengHei"/>
          <w:spacing w:val="42"/>
          <w:w w:val="102"/>
          <w:position w:val="-1"/>
          <w:sz w:val="19"/>
          <w:szCs w:val="19"/>
        </w:rPr>
        <w:t xml:space="preserve"> </w:t>
      </w:r>
      <w:r>
        <w:rPr>
          <w:rFonts w:ascii="Microsoft JhengHei" w:hAnsi="Microsoft JhengHei" w:eastAsia="Microsoft JhengHei" w:cs="Microsoft JhengHei"/>
          <w:spacing w:val="-67"/>
          <w:position w:val="-1"/>
          <w:sz w:val="19"/>
          <w:szCs w:val="19"/>
        </w:rPr>
        <w:t>ｍｍ</w:t>
      </w:r>
      <w:r>
        <w:rPr>
          <w:rFonts w:ascii="Microsoft JhengHei" w:hAnsi="Microsoft JhengHei" w:eastAsia="Microsoft JhengHei" w:cs="Microsoft JhengHei"/>
          <w:spacing w:val="35"/>
          <w:position w:val="-1"/>
          <w:sz w:val="19"/>
          <w:szCs w:val="19"/>
        </w:rPr>
        <w:t xml:space="preserve"> </w:t>
      </w:r>
      <w:r>
        <w:rPr>
          <w:rFonts w:ascii="Microsoft JhengHei" w:hAnsi="Microsoft JhengHei" w:eastAsia="Microsoft JhengHei" w:cs="Microsoft JhengHei"/>
          <w:spacing w:val="3"/>
          <w:position w:val="1"/>
          <w:sz w:val="19"/>
          <w:szCs w:val="19"/>
        </w:rPr>
        <w:t>的块，欠烧品及杂质的表面积不得超过</w:t>
      </w:r>
      <w:r>
        <w:rPr>
          <w:rFonts w:ascii="Microsoft JhengHei" w:hAnsi="Microsoft JhengHei" w:eastAsia="Microsoft JhengHei" w:cs="Microsoft JhengHei"/>
          <w:position w:val="1"/>
          <w:sz w:val="19"/>
          <w:szCs w:val="19"/>
        </w:rPr>
        <w:t xml:space="preserve"> </w:t>
      </w:r>
      <w:r>
        <w:rPr>
          <w:rFonts w:ascii="Microsoft JhengHei" w:hAnsi="Microsoft JhengHei" w:eastAsia="Microsoft JhengHei" w:cs="Microsoft JhengHei"/>
          <w:spacing w:val="17"/>
          <w:sz w:val="19"/>
          <w:szCs w:val="19"/>
        </w:rPr>
        <w:t>该镁砂块表面积的</w:t>
      </w:r>
      <w:r>
        <w:rPr>
          <w:rFonts w:ascii="Microsoft JhengHei" w:hAnsi="Microsoft JhengHei" w:eastAsia="Microsoft JhengHei" w:cs="Microsoft JhengHei"/>
          <w:spacing w:val="41"/>
          <w:w w:val="101"/>
          <w:sz w:val="19"/>
          <w:szCs w:val="19"/>
        </w:rPr>
        <w:t xml:space="preserve"> </w:t>
      </w:r>
      <w:r>
        <w:rPr>
          <w:rFonts w:ascii="Microsoft JhengHei" w:hAnsi="Microsoft JhengHei" w:eastAsia="Microsoft JhengHei" w:cs="Microsoft JhengHei"/>
          <w:spacing w:val="-65"/>
          <w:sz w:val="19"/>
          <w:szCs w:val="19"/>
        </w:rPr>
        <w:t>１／４；</w:t>
      </w:r>
      <w:r>
        <w:rPr>
          <w:rFonts w:ascii="Microsoft JhengHei" w:hAnsi="Microsoft JhengHei" w:eastAsia="Microsoft JhengHei" w:cs="Microsoft JhengHei"/>
          <w:spacing w:val="17"/>
          <w:sz w:val="19"/>
          <w:szCs w:val="19"/>
        </w:rPr>
        <w:t>粒度</w:t>
      </w:r>
      <w:r>
        <w:rPr>
          <w:rFonts w:ascii="Microsoft JhengHei" w:hAnsi="Microsoft JhengHei" w:eastAsia="Microsoft JhengHei" w:cs="Microsoft JhengHei"/>
          <w:spacing w:val="28"/>
          <w:w w:val="102"/>
          <w:sz w:val="19"/>
          <w:szCs w:val="19"/>
        </w:rPr>
        <w:t xml:space="preserve"> </w:t>
      </w:r>
      <w:r>
        <w:rPr>
          <w:rFonts w:ascii="Microsoft JhengHei" w:hAnsi="Microsoft JhengHei" w:eastAsia="Microsoft JhengHei" w:cs="Microsoft JhengHei"/>
          <w:spacing w:val="-65"/>
          <w:position w:val="-2"/>
          <w:sz w:val="19"/>
          <w:szCs w:val="19"/>
        </w:rPr>
        <w:t>５</w:t>
      </w:r>
      <w:r>
        <w:rPr>
          <w:rFonts w:ascii="Microsoft JhengHei" w:hAnsi="Microsoft JhengHei" w:eastAsia="Microsoft JhengHei" w:cs="Microsoft JhengHei"/>
          <w:spacing w:val="2"/>
          <w:w w:val="101"/>
          <w:position w:val="-2"/>
          <w:sz w:val="19"/>
          <w:szCs w:val="19"/>
        </w:rPr>
        <w:t xml:space="preserve">  </w:t>
      </w:r>
      <w:r>
        <w:rPr>
          <w:rFonts w:ascii="Microsoft JhengHei" w:hAnsi="Microsoft JhengHei" w:eastAsia="Microsoft JhengHei" w:cs="Microsoft JhengHei"/>
          <w:spacing w:val="-65"/>
          <w:position w:val="-2"/>
          <w:sz w:val="19"/>
          <w:szCs w:val="19"/>
        </w:rPr>
        <w:t>ｍｍ～３０</w:t>
      </w:r>
      <w:r>
        <w:rPr>
          <w:rFonts w:ascii="Microsoft JhengHei" w:hAnsi="Microsoft JhengHei" w:eastAsia="Microsoft JhengHei" w:cs="Microsoft JhengHei"/>
          <w:spacing w:val="1"/>
          <w:position w:val="-2"/>
          <w:sz w:val="19"/>
          <w:szCs w:val="19"/>
        </w:rPr>
        <w:t xml:space="preserve">  </w:t>
      </w:r>
      <w:r>
        <w:rPr>
          <w:rFonts w:ascii="Microsoft JhengHei" w:hAnsi="Microsoft JhengHei" w:eastAsia="Microsoft JhengHei" w:cs="Microsoft JhengHei"/>
          <w:spacing w:val="-65"/>
          <w:position w:val="-2"/>
          <w:sz w:val="19"/>
          <w:szCs w:val="19"/>
        </w:rPr>
        <w:t>ｍｍ</w:t>
      </w:r>
      <w:r>
        <w:rPr>
          <w:rFonts w:ascii="Microsoft JhengHei" w:hAnsi="Microsoft JhengHei" w:eastAsia="Microsoft JhengHei" w:cs="Microsoft JhengHei"/>
          <w:spacing w:val="35"/>
          <w:position w:val="-2"/>
          <w:sz w:val="19"/>
          <w:szCs w:val="19"/>
        </w:rPr>
        <w:t xml:space="preserve"> </w:t>
      </w:r>
      <w:r>
        <w:rPr>
          <w:rFonts w:ascii="Microsoft JhengHei" w:hAnsi="Microsoft JhengHei" w:eastAsia="Microsoft JhengHei" w:cs="Microsoft JhengHei"/>
          <w:spacing w:val="17"/>
          <w:sz w:val="19"/>
          <w:szCs w:val="19"/>
        </w:rPr>
        <w:t>的块，欠烧品及杂质的表面积不得超过该镁砂块</w:t>
      </w:r>
      <w:r>
        <w:rPr>
          <w:rFonts w:ascii="Microsoft JhengHei" w:hAnsi="Microsoft JhengHei" w:eastAsia="Microsoft JhengHei" w:cs="Microsoft JhengHei"/>
          <w:sz w:val="19"/>
          <w:szCs w:val="19"/>
        </w:rPr>
        <w:t xml:space="preserve"> </w:t>
      </w:r>
      <w:r>
        <w:rPr>
          <w:rFonts w:ascii="Microsoft JhengHei" w:hAnsi="Microsoft JhengHei" w:eastAsia="Microsoft JhengHei" w:cs="Microsoft JhengHei"/>
          <w:spacing w:val="15"/>
          <w:sz w:val="19"/>
          <w:szCs w:val="19"/>
        </w:rPr>
        <w:t>表面积的</w:t>
      </w:r>
      <w:r>
        <w:rPr>
          <w:rFonts w:ascii="Microsoft JhengHei" w:hAnsi="Microsoft JhengHei" w:eastAsia="Microsoft JhengHei" w:cs="Microsoft JhengHei"/>
          <w:spacing w:val="33"/>
          <w:sz w:val="19"/>
          <w:szCs w:val="19"/>
        </w:rPr>
        <w:t xml:space="preserve"> </w:t>
      </w:r>
      <w:r>
        <w:rPr>
          <w:rFonts w:ascii="Microsoft JhengHei" w:hAnsi="Microsoft JhengHei" w:eastAsia="Microsoft JhengHei" w:cs="Microsoft JhengHei"/>
          <w:spacing w:val="-73"/>
          <w:position w:val="-1"/>
          <w:sz w:val="19"/>
          <w:szCs w:val="19"/>
        </w:rPr>
        <w:t>１／２</w:t>
      </w:r>
      <w:r>
        <w:rPr>
          <w:rFonts w:ascii="Microsoft JhengHei" w:hAnsi="Microsoft JhengHei" w:eastAsia="Microsoft JhengHei" w:cs="Microsoft JhengHei"/>
          <w:spacing w:val="-73"/>
          <w:sz w:val="19"/>
          <w:szCs w:val="19"/>
        </w:rPr>
        <w:t>；</w:t>
      </w:r>
    </w:p>
    <w:p>
      <w:pPr>
        <w:spacing w:before="23" w:line="187" w:lineRule="auto"/>
        <w:ind w:firstLine="628"/>
        <w:rPr>
          <w:rFonts w:ascii="Microsoft JhengHei" w:hAnsi="Microsoft JhengHei" w:eastAsia="Microsoft JhengHei" w:cs="Microsoft JhengHei"/>
          <w:sz w:val="19"/>
          <w:szCs w:val="19"/>
        </w:rPr>
      </w:pPr>
      <w:r>
        <w:rPr>
          <w:rFonts w:ascii="Arial" w:hAnsi="Arial" w:eastAsia="Arial" w:cs="Arial"/>
          <w:spacing w:val="3"/>
          <w:position w:val="1"/>
          <w:sz w:val="19"/>
          <w:szCs w:val="19"/>
        </w:rPr>
        <w:t>—</w:t>
      </w:r>
      <w:r>
        <w:rPr>
          <w:rFonts w:ascii="Arial" w:hAnsi="Arial" w:eastAsia="Arial" w:cs="Arial"/>
          <w:spacing w:val="-9"/>
          <w:position w:val="1"/>
          <w:sz w:val="19"/>
          <w:szCs w:val="19"/>
        </w:rPr>
        <w:t xml:space="preserve"> </w:t>
      </w:r>
      <w:r>
        <w:rPr>
          <w:rFonts w:ascii="Microsoft JhengHei" w:hAnsi="Microsoft JhengHei" w:eastAsia="Microsoft JhengHei" w:cs="Microsoft JhengHei"/>
          <w:spacing w:val="-67"/>
          <w:position w:val="-1"/>
          <w:sz w:val="19"/>
          <w:szCs w:val="19"/>
        </w:rPr>
        <w:t>ＭＳ８８</w:t>
      </w:r>
      <w:r>
        <w:rPr>
          <w:rFonts w:ascii="Microsoft JhengHei" w:hAnsi="Microsoft JhengHei" w:eastAsia="Microsoft JhengHei" w:cs="Microsoft JhengHei"/>
          <w:spacing w:val="3"/>
          <w:position w:val="1"/>
          <w:sz w:val="19"/>
          <w:szCs w:val="19"/>
        </w:rPr>
        <w:t>、</w:t>
      </w:r>
      <w:r>
        <w:rPr>
          <w:rFonts w:ascii="Microsoft JhengHei" w:hAnsi="Microsoft JhengHei" w:eastAsia="Microsoft JhengHei" w:cs="Microsoft JhengHei"/>
          <w:spacing w:val="-67"/>
          <w:position w:val="-1"/>
          <w:sz w:val="19"/>
          <w:szCs w:val="19"/>
        </w:rPr>
        <w:t>ＭＳ８７</w:t>
      </w:r>
      <w:r>
        <w:rPr>
          <w:rFonts w:ascii="Microsoft JhengHei" w:hAnsi="Microsoft JhengHei" w:eastAsia="Microsoft JhengHei" w:cs="Microsoft JhengHei"/>
          <w:spacing w:val="3"/>
          <w:position w:val="1"/>
          <w:sz w:val="19"/>
          <w:szCs w:val="19"/>
        </w:rPr>
        <w:t>、</w:t>
      </w:r>
      <w:r>
        <w:rPr>
          <w:rFonts w:ascii="Microsoft JhengHei" w:hAnsi="Microsoft JhengHei" w:eastAsia="Microsoft JhengHei" w:cs="Microsoft JhengHei"/>
          <w:spacing w:val="-67"/>
          <w:position w:val="-1"/>
          <w:sz w:val="19"/>
          <w:szCs w:val="19"/>
        </w:rPr>
        <w:t>ＭＳ８４</w:t>
      </w:r>
      <w:r>
        <w:rPr>
          <w:rFonts w:ascii="Microsoft JhengHei" w:hAnsi="Microsoft JhengHei" w:eastAsia="Microsoft JhengHei" w:cs="Microsoft JhengHei"/>
          <w:spacing w:val="35"/>
          <w:position w:val="-1"/>
          <w:sz w:val="19"/>
          <w:szCs w:val="19"/>
        </w:rPr>
        <w:t xml:space="preserve"> </w:t>
      </w:r>
      <w:r>
        <w:rPr>
          <w:rFonts w:ascii="Microsoft JhengHei" w:hAnsi="Microsoft JhengHei" w:eastAsia="Microsoft JhengHei" w:cs="Microsoft JhengHei"/>
          <w:spacing w:val="3"/>
          <w:position w:val="1"/>
          <w:sz w:val="19"/>
          <w:szCs w:val="19"/>
        </w:rPr>
        <w:t>和</w:t>
      </w:r>
      <w:r>
        <w:rPr>
          <w:rFonts w:ascii="Microsoft JhengHei" w:hAnsi="Microsoft JhengHei" w:eastAsia="Microsoft JhengHei" w:cs="Microsoft JhengHei"/>
          <w:spacing w:val="21"/>
          <w:position w:val="1"/>
          <w:sz w:val="19"/>
          <w:szCs w:val="19"/>
        </w:rPr>
        <w:t xml:space="preserve"> </w:t>
      </w:r>
      <w:r>
        <w:rPr>
          <w:rFonts w:ascii="Microsoft JhengHei" w:hAnsi="Microsoft JhengHei" w:eastAsia="Microsoft JhengHei" w:cs="Microsoft JhengHei"/>
          <w:spacing w:val="-67"/>
          <w:position w:val="-1"/>
          <w:sz w:val="19"/>
          <w:szCs w:val="19"/>
        </w:rPr>
        <w:t>ＭＳ８３</w:t>
      </w:r>
      <w:r>
        <w:rPr>
          <w:rFonts w:ascii="Microsoft JhengHei" w:hAnsi="Microsoft JhengHei" w:eastAsia="Microsoft JhengHei" w:cs="Microsoft JhengHei"/>
          <w:spacing w:val="36"/>
          <w:position w:val="-1"/>
          <w:sz w:val="19"/>
          <w:szCs w:val="19"/>
        </w:rPr>
        <w:t xml:space="preserve"> </w:t>
      </w:r>
      <w:r>
        <w:rPr>
          <w:rFonts w:ascii="Microsoft JhengHei" w:hAnsi="Microsoft JhengHei" w:eastAsia="Microsoft JhengHei" w:cs="Microsoft JhengHei"/>
          <w:spacing w:val="3"/>
          <w:position w:val="1"/>
          <w:sz w:val="19"/>
          <w:szCs w:val="19"/>
        </w:rPr>
        <w:t>等牌号，粒度大于</w:t>
      </w:r>
      <w:r>
        <w:rPr>
          <w:rFonts w:ascii="Microsoft JhengHei" w:hAnsi="Microsoft JhengHei" w:eastAsia="Microsoft JhengHei" w:cs="Microsoft JhengHei"/>
          <w:spacing w:val="21"/>
          <w:w w:val="102"/>
          <w:position w:val="1"/>
          <w:sz w:val="19"/>
          <w:szCs w:val="19"/>
        </w:rPr>
        <w:t xml:space="preserve"> </w:t>
      </w:r>
      <w:r>
        <w:rPr>
          <w:rFonts w:ascii="Microsoft JhengHei" w:hAnsi="Microsoft JhengHei" w:eastAsia="Microsoft JhengHei" w:cs="Microsoft JhengHei"/>
          <w:spacing w:val="-67"/>
          <w:position w:val="-1"/>
          <w:sz w:val="19"/>
          <w:szCs w:val="19"/>
        </w:rPr>
        <w:t>３０</w:t>
      </w:r>
      <w:r>
        <w:rPr>
          <w:rFonts w:ascii="Microsoft JhengHei" w:hAnsi="Microsoft JhengHei" w:eastAsia="Microsoft JhengHei" w:cs="Microsoft JhengHei"/>
          <w:spacing w:val="42"/>
          <w:w w:val="102"/>
          <w:position w:val="-1"/>
          <w:sz w:val="19"/>
          <w:szCs w:val="19"/>
        </w:rPr>
        <w:t xml:space="preserve"> </w:t>
      </w:r>
      <w:r>
        <w:rPr>
          <w:rFonts w:ascii="Microsoft JhengHei" w:hAnsi="Microsoft JhengHei" w:eastAsia="Microsoft JhengHei" w:cs="Microsoft JhengHei"/>
          <w:spacing w:val="-67"/>
          <w:position w:val="-1"/>
          <w:sz w:val="19"/>
          <w:szCs w:val="19"/>
        </w:rPr>
        <w:t>ｍｍ</w:t>
      </w:r>
      <w:r>
        <w:rPr>
          <w:rFonts w:ascii="Microsoft JhengHei" w:hAnsi="Microsoft JhengHei" w:eastAsia="Microsoft JhengHei" w:cs="Microsoft JhengHei"/>
          <w:spacing w:val="35"/>
          <w:position w:val="-1"/>
          <w:sz w:val="19"/>
          <w:szCs w:val="19"/>
        </w:rPr>
        <w:t xml:space="preserve"> </w:t>
      </w:r>
      <w:r>
        <w:rPr>
          <w:rFonts w:ascii="Microsoft JhengHei" w:hAnsi="Microsoft JhengHei" w:eastAsia="Microsoft JhengHei" w:cs="Microsoft JhengHei"/>
          <w:spacing w:val="3"/>
          <w:position w:val="1"/>
          <w:sz w:val="19"/>
          <w:szCs w:val="19"/>
        </w:rPr>
        <w:t>的块，欠烧品及杂质的表面积不得超过</w:t>
      </w:r>
    </w:p>
    <w:p>
      <w:pPr>
        <w:spacing w:before="65" w:line="180" w:lineRule="auto"/>
        <w:ind w:firstLine="8997"/>
        <w:rPr>
          <w:rFonts w:ascii="Microsoft JhengHei" w:hAnsi="Microsoft JhengHei" w:eastAsia="Microsoft JhengHei" w:cs="Microsoft JhengHei"/>
          <w:sz w:val="16"/>
          <w:szCs w:val="16"/>
        </w:rPr>
      </w:pPr>
      <w:r>
        <w:rPr>
          <w:rFonts w:ascii="Microsoft JhengHei" w:hAnsi="Microsoft JhengHei" w:eastAsia="Microsoft JhengHei" w:cs="Microsoft JhengHei"/>
          <w:sz w:val="16"/>
          <w:szCs w:val="16"/>
        </w:rPr>
        <w:t>１</w:t>
      </w:r>
    </w:p>
    <w:p>
      <w:pPr>
        <w:sectPr>
          <w:pgSz w:w="11906" w:h="16838"/>
          <w:pgMar w:top="1249" w:right="471" w:bottom="0" w:left="1349" w:header="0" w:footer="0" w:gutter="0"/>
          <w:cols w:space="720" w:num="1"/>
        </w:sectPr>
      </w:pPr>
    </w:p>
    <w:p>
      <w:pPr>
        <w:spacing w:before="39" w:line="180" w:lineRule="auto"/>
        <w:ind w:firstLine="1021"/>
        <w:rPr>
          <w:rFonts w:ascii="Microsoft JhengHei" w:hAnsi="Microsoft JhengHei" w:eastAsia="Microsoft JhengHei" w:cs="Microsoft JhengHei"/>
          <w:sz w:val="19"/>
          <w:szCs w:val="19"/>
        </w:rPr>
      </w:pPr>
      <w:r>
        <mc:AlternateContent>
          <mc:Choice Requires="wps">
            <w:drawing>
              <wp:anchor distT="0" distB="0" distL="0" distR="0" simplePos="0" relativeHeight="251667456" behindDoc="0" locked="0" layoutInCell="0" allowOverlap="1">
                <wp:simplePos x="0" y="0"/>
                <wp:positionH relativeFrom="page">
                  <wp:posOffset>-2531110</wp:posOffset>
                </wp:positionH>
                <wp:positionV relativeFrom="page">
                  <wp:posOffset>5266055</wp:posOffset>
                </wp:positionV>
                <wp:extent cx="5607050" cy="153670"/>
                <wp:effectExtent l="2726690" t="0" r="0" b="0"/>
                <wp:wrapNone/>
                <wp:docPr id="15" name="TextBox 15"/>
                <wp:cNvGraphicFramePr/>
                <a:graphic xmlns:a="http://schemas.openxmlformats.org/drawingml/2006/main">
                  <a:graphicData uri="http://schemas.microsoft.com/office/word/2010/wordprocessingShape">
                    <wps:wsp>
                      <wps:cNvSpPr txBox="1"/>
                      <wps:spPr>
                        <a:xfrm rot="16200000">
                          <a:off x="-2531618" y="5266139"/>
                          <a:ext cx="5607050" cy="15367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85" w:lineRule="auto"/>
                              <w:ind w:firstLine="20"/>
                              <w:rPr>
                                <w:rFonts w:ascii="新宋体" w:hAnsi="新宋体" w:eastAsia="新宋体" w:cs="新宋体"/>
                                <w:sz w:val="20"/>
                                <w:szCs w:val="20"/>
                              </w:rPr>
                            </w:pPr>
                            <w:r>
                              <w:rPr>
                                <w:rFonts w:ascii="新宋体" w:hAnsi="新宋体" w:eastAsia="新宋体" w:cs="新宋体"/>
                                <w:spacing w:val="-1"/>
                                <w:sz w:val="20"/>
                                <w:szCs w:val="20"/>
                              </w:rPr>
                              <w:t>订单号：0117220217373849</w:t>
                            </w:r>
                            <w:r>
                              <w:rPr>
                                <w:rFonts w:ascii="新宋体" w:hAnsi="新宋体" w:eastAsia="新宋体" w:cs="新宋体"/>
                                <w:spacing w:val="16"/>
                                <w:sz w:val="20"/>
                                <w:szCs w:val="20"/>
                              </w:rPr>
                              <w:t xml:space="preserve">  </w:t>
                            </w:r>
                            <w:r>
                              <w:rPr>
                                <w:rFonts w:ascii="新宋体" w:hAnsi="新宋体" w:eastAsia="新宋体" w:cs="新宋体"/>
                                <w:spacing w:val="-1"/>
                                <w:sz w:val="20"/>
                                <w:szCs w:val="20"/>
                              </w:rPr>
                              <w:t>防伪编号：2022-0217-1024-4104-4908</w:t>
                            </w:r>
                            <w:r>
                              <w:rPr>
                                <w:rFonts w:ascii="新宋体" w:hAnsi="新宋体" w:eastAsia="新宋体" w:cs="新宋体"/>
                                <w:spacing w:val="3"/>
                                <w:sz w:val="20"/>
                                <w:szCs w:val="20"/>
                              </w:rPr>
                              <w:t xml:space="preserve">  </w:t>
                            </w:r>
                            <w:r>
                              <w:rPr>
                                <w:rFonts w:ascii="新宋体" w:hAnsi="新宋体" w:eastAsia="新宋体" w:cs="新宋体"/>
                                <w:spacing w:val="-1"/>
                                <w:sz w:val="20"/>
                                <w:szCs w:val="20"/>
                              </w:rPr>
                              <w:t>购买单位:</w:t>
                            </w:r>
                            <w:r>
                              <w:rPr>
                                <w:rFonts w:ascii="新宋体" w:hAnsi="新宋体" w:eastAsia="新宋体" w:cs="新宋体"/>
                                <w:spacing w:val="15"/>
                                <w:sz w:val="20"/>
                                <w:szCs w:val="20"/>
                              </w:rPr>
                              <w:t xml:space="preserve"> </w:t>
                            </w:r>
                            <w:r>
                              <w:rPr>
                                <w:rFonts w:ascii="新宋体" w:hAnsi="新宋体" w:eastAsia="新宋体" w:cs="新宋体"/>
                                <w:spacing w:val="-1"/>
                                <w:sz w:val="20"/>
                                <w:szCs w:val="20"/>
                              </w:rPr>
                              <w:t>百度文库个人用户</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5" o:spid="_x0000_s1026" o:spt="202" type="#_x0000_t202" style="position:absolute;left:0pt;margin-left:-199.3pt;margin-top:414.65pt;height:12.1pt;width:441.5pt;mso-position-horizontal-relative:page;mso-position-vertical-relative:page;rotation:-5898240f;z-index:251667456;mso-width-relative:page;mso-height-relative:page;" filled="f" stroked="f" coordsize="21600,21600" o:allowincell="f" o:gfxdata="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opYmZ2wAAAAwB&#10;AAAPAAAAAAAAAAEAIAAAACIAAABkcnMvZG93bnJldi54bWxQSwECFAAUAAAACACHTuJABdW8RBgC&#10;AAAhBAAADgAAAAAAAAABACAAAAAqAQAAZHJzL2Uyb0RvYy54bWxQSwUGAAAAAAYABgBZAQAAtAUA&#10;AAAA&#10;">
                <v:fill on="f" focussize="0,0"/>
                <v:stroke on="f" weight="0pt"/>
                <v:imagedata o:title=""/>
                <o:lock v:ext="edit" aspectratio="f"/>
                <v:textbox inset="0mm,0mm,0mm,0mm">
                  <w:txbxContent>
                    <w:p>
                      <w:pPr>
                        <w:spacing w:before="20" w:line="185" w:lineRule="auto"/>
                        <w:ind w:firstLine="20"/>
                        <w:rPr>
                          <w:rFonts w:ascii="新宋体" w:hAnsi="新宋体" w:eastAsia="新宋体" w:cs="新宋体"/>
                          <w:sz w:val="20"/>
                          <w:szCs w:val="20"/>
                        </w:rPr>
                      </w:pPr>
                      <w:r>
                        <w:rPr>
                          <w:rFonts w:ascii="新宋体" w:hAnsi="新宋体" w:eastAsia="新宋体" w:cs="新宋体"/>
                          <w:spacing w:val="-1"/>
                          <w:sz w:val="20"/>
                          <w:szCs w:val="20"/>
                        </w:rPr>
                        <w:t>订单号：0117220217373849</w:t>
                      </w:r>
                      <w:r>
                        <w:rPr>
                          <w:rFonts w:ascii="新宋体" w:hAnsi="新宋体" w:eastAsia="新宋体" w:cs="新宋体"/>
                          <w:spacing w:val="16"/>
                          <w:sz w:val="20"/>
                          <w:szCs w:val="20"/>
                        </w:rPr>
                        <w:t xml:space="preserve">  </w:t>
                      </w:r>
                      <w:r>
                        <w:rPr>
                          <w:rFonts w:ascii="新宋体" w:hAnsi="新宋体" w:eastAsia="新宋体" w:cs="新宋体"/>
                          <w:spacing w:val="-1"/>
                          <w:sz w:val="20"/>
                          <w:szCs w:val="20"/>
                        </w:rPr>
                        <w:t>防伪编号：2022-0217-1024-4104-4908</w:t>
                      </w:r>
                      <w:r>
                        <w:rPr>
                          <w:rFonts w:ascii="新宋体" w:hAnsi="新宋体" w:eastAsia="新宋体" w:cs="新宋体"/>
                          <w:spacing w:val="3"/>
                          <w:sz w:val="20"/>
                          <w:szCs w:val="20"/>
                        </w:rPr>
                        <w:t xml:space="preserve">  </w:t>
                      </w:r>
                      <w:r>
                        <w:rPr>
                          <w:rFonts w:ascii="新宋体" w:hAnsi="新宋体" w:eastAsia="新宋体" w:cs="新宋体"/>
                          <w:spacing w:val="-1"/>
                          <w:sz w:val="20"/>
                          <w:szCs w:val="20"/>
                        </w:rPr>
                        <w:t>购买单位:</w:t>
                      </w:r>
                      <w:r>
                        <w:rPr>
                          <w:rFonts w:ascii="新宋体" w:hAnsi="新宋体" w:eastAsia="新宋体" w:cs="新宋体"/>
                          <w:spacing w:val="15"/>
                          <w:sz w:val="20"/>
                          <w:szCs w:val="20"/>
                        </w:rPr>
                        <w:t xml:space="preserve"> </w:t>
                      </w:r>
                      <w:r>
                        <w:rPr>
                          <w:rFonts w:ascii="新宋体" w:hAnsi="新宋体" w:eastAsia="新宋体" w:cs="新宋体"/>
                          <w:spacing w:val="-1"/>
                          <w:sz w:val="20"/>
                          <w:szCs w:val="20"/>
                        </w:rPr>
                        <w:t>百度文库个人用户</w:t>
                      </w:r>
                    </w:p>
                  </w:txbxContent>
                </v:textbox>
              </v:shape>
            </w:pict>
          </mc:Fallback>
        </mc:AlternateContent>
      </w:r>
      <w:r>
        <mc:AlternateContent>
          <mc:Choice Requires="wps">
            <w:drawing>
              <wp:anchor distT="0" distB="0" distL="114300" distR="114300" simplePos="0" relativeHeight="251668480" behindDoc="0" locked="0" layoutInCell="0" allowOverlap="1">
                <wp:simplePos x="0" y="0"/>
                <wp:positionH relativeFrom="page">
                  <wp:posOffset>2955925</wp:posOffset>
                </wp:positionH>
                <wp:positionV relativeFrom="page">
                  <wp:posOffset>8369935</wp:posOffset>
                </wp:positionV>
                <wp:extent cx="2811145" cy="1885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811145" cy="188595"/>
                        </a:xfrm>
                        <a:prstGeom prst="rect">
                          <a:avLst/>
                        </a:prstGeom>
                        <a:noFill/>
                        <a:ln>
                          <a:noFill/>
                        </a:ln>
                      </wps:spPr>
                      <wps:txbx>
                        <w:txbxContent>
                          <w:p>
                            <w:pPr>
                              <w:spacing w:before="20" w:line="187" w:lineRule="auto"/>
                              <w:ind w:firstLine="20"/>
                              <w:rPr>
                                <w:rFonts w:ascii="Microsoft JhengHei" w:hAnsi="Microsoft JhengHei" w:eastAsia="Microsoft JhengHei" w:cs="Microsoft JhengHei"/>
                                <w:sz w:val="19"/>
                                <w:szCs w:val="19"/>
                              </w:rPr>
                            </w:pPr>
                            <w:r>
                              <w:rPr>
                                <w:rFonts w:ascii="Microsoft JhengHei" w:hAnsi="Microsoft JhengHei" w:eastAsia="Microsoft JhengHei" w:cs="Microsoft JhengHei"/>
                                <w:spacing w:val="18"/>
                                <w:sz w:val="19"/>
                                <w:szCs w:val="19"/>
                              </w:rPr>
                              <w:t>烧结镁砂外观检测中欠烧品和杂质超限的块质量</w:t>
                            </w:r>
                          </w:p>
                        </w:txbxContent>
                      </wps:txbx>
                      <wps:bodyPr lIns="0" tIns="0" rIns="0" bIns="0" upright="0"/>
                    </wps:wsp>
                  </a:graphicData>
                </a:graphic>
              </wp:anchor>
            </w:drawing>
          </mc:Choice>
          <mc:Fallback>
            <w:pict>
              <v:shape id="_x0000_s1026" o:spid="_x0000_s1026" o:spt="202" type="#_x0000_t202" style="position:absolute;left:0pt;margin-left:232.75pt;margin-top:659.05pt;height:14.85pt;width:221.35pt;mso-position-horizontal-relative:page;mso-position-vertical-relative:page;z-index:251668480;mso-width-relative:page;mso-height-relative:page;" filled="f" stroked="f" coordsize="21600,21600" o:allowincell="f" o:gfxdata="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RofjM2wAAAA0BAAAPAAAA&#10;AAAAAAEAIAAAACIAAABkcnMvZG93bnJldi54bWxQSwECFAAUAAAACACHTuJAEVnytKABAAAkAwAA&#10;DgAAAAAAAAABACAAAAAqAQAAZHJzL2Uyb0RvYy54bWxQSwUGAAAAAAYABgBZAQAAPAUAAAAA&#10;">
                <v:fill on="f" focussize="0,0"/>
                <v:stroke on="f"/>
                <v:imagedata o:title=""/>
                <o:lock v:ext="edit" aspectratio="f"/>
                <v:textbox inset="0mm,0mm,0mm,0mm">
                  <w:txbxContent>
                    <w:p>
                      <w:pPr>
                        <w:spacing w:before="20" w:line="187" w:lineRule="auto"/>
                        <w:ind w:firstLine="20"/>
                        <w:rPr>
                          <w:rFonts w:ascii="Microsoft JhengHei" w:hAnsi="Microsoft JhengHei" w:eastAsia="Microsoft JhengHei" w:cs="Microsoft JhengHei"/>
                          <w:sz w:val="19"/>
                          <w:szCs w:val="19"/>
                        </w:rPr>
                      </w:pPr>
                      <w:r>
                        <w:rPr>
                          <w:rFonts w:ascii="Microsoft JhengHei" w:hAnsi="Microsoft JhengHei" w:eastAsia="Microsoft JhengHei" w:cs="Microsoft JhengHei"/>
                          <w:spacing w:val="18"/>
                          <w:sz w:val="19"/>
                          <w:szCs w:val="19"/>
                        </w:rPr>
                        <w:t>烧结镁砂外观检测中欠烧品和杂质超限的块质量</w:t>
                      </w:r>
                    </w:p>
                  </w:txbxContent>
                </v:textbox>
              </v:shape>
            </w:pict>
          </mc:Fallback>
        </mc:AlternateContent>
      </w:r>
      <w:r>
        <w:rPr>
          <w:rFonts w:ascii="Microsoft JhengHei" w:hAnsi="Microsoft JhengHei" w:eastAsia="Microsoft JhengHei" w:cs="Microsoft JhengHei"/>
          <w:spacing w:val="-16"/>
          <w:w w:val="83"/>
          <w:sz w:val="19"/>
          <w:szCs w:val="19"/>
        </w:rPr>
        <w:t>犌犅／犜</w:t>
      </w:r>
      <w:r>
        <w:rPr>
          <w:rFonts w:ascii="Microsoft JhengHei" w:hAnsi="Microsoft JhengHei" w:eastAsia="Microsoft JhengHei" w:cs="Microsoft JhengHei"/>
          <w:spacing w:val="26"/>
          <w:sz w:val="19"/>
          <w:szCs w:val="19"/>
        </w:rPr>
        <w:t xml:space="preserve"> </w:t>
      </w:r>
      <w:r>
        <w:rPr>
          <w:rFonts w:ascii="Microsoft JhengHei" w:hAnsi="Microsoft JhengHei" w:eastAsia="Microsoft JhengHei" w:cs="Microsoft JhengHei"/>
          <w:spacing w:val="-77"/>
          <w:sz w:val="19"/>
          <w:szCs w:val="19"/>
        </w:rPr>
        <w:t>２２７３</w:t>
      </w:r>
      <w:r>
        <w:rPr>
          <w:rFonts w:ascii="Microsoft JhengHei" w:hAnsi="Microsoft JhengHei" w:eastAsia="Microsoft JhengHei" w:cs="Microsoft JhengHei"/>
          <w:spacing w:val="-26"/>
          <w:sz w:val="19"/>
          <w:szCs w:val="19"/>
        </w:rPr>
        <w:t xml:space="preserve"> </w:t>
      </w:r>
      <w:r>
        <w:rPr>
          <w:rFonts w:ascii="Microsoft JhengHei" w:hAnsi="Microsoft JhengHei" w:eastAsia="Microsoft JhengHei" w:cs="Microsoft JhengHei"/>
          <w:spacing w:val="-16"/>
          <w:w w:val="83"/>
          <w:position w:val="2"/>
          <w:sz w:val="19"/>
          <w:szCs w:val="19"/>
        </w:rPr>
        <w:t>—</w:t>
      </w:r>
      <w:r>
        <w:rPr>
          <w:rFonts w:ascii="Microsoft JhengHei" w:hAnsi="Microsoft JhengHei" w:eastAsia="Microsoft JhengHei" w:cs="Microsoft JhengHei"/>
          <w:spacing w:val="-77"/>
          <w:sz w:val="19"/>
          <w:szCs w:val="19"/>
        </w:rPr>
        <w:t>２００７</w:t>
      </w:r>
    </w:p>
    <w:p>
      <w:pPr>
        <w:spacing w:before="288" w:line="180" w:lineRule="auto"/>
        <w:ind w:firstLine="1866"/>
        <w:rPr>
          <w:rFonts w:ascii="Microsoft JhengHei" w:hAnsi="Microsoft JhengHei" w:eastAsia="Microsoft JhengHei" w:cs="Microsoft JhengHei"/>
          <w:sz w:val="19"/>
          <w:szCs w:val="19"/>
        </w:rPr>
      </w:pPr>
      <w:r>
        <w:rPr>
          <w:rFonts w:ascii="Microsoft JhengHei" w:hAnsi="Microsoft JhengHei" w:eastAsia="Microsoft JhengHei" w:cs="Microsoft JhengHei"/>
          <w:spacing w:val="13"/>
          <w:sz w:val="19"/>
          <w:szCs w:val="19"/>
        </w:rPr>
        <w:t>该镁砂块表面积的</w:t>
      </w:r>
      <w:r>
        <w:rPr>
          <w:rFonts w:ascii="Microsoft JhengHei" w:hAnsi="Microsoft JhengHei" w:eastAsia="Microsoft JhengHei" w:cs="Microsoft JhengHei"/>
          <w:spacing w:val="37"/>
          <w:w w:val="101"/>
          <w:sz w:val="19"/>
          <w:szCs w:val="19"/>
        </w:rPr>
        <w:t xml:space="preserve"> </w:t>
      </w:r>
      <w:r>
        <w:rPr>
          <w:rFonts w:ascii="Microsoft JhengHei" w:hAnsi="Microsoft JhengHei" w:eastAsia="Microsoft JhengHei" w:cs="Microsoft JhengHei"/>
          <w:spacing w:val="-67"/>
          <w:sz w:val="19"/>
          <w:szCs w:val="19"/>
        </w:rPr>
        <w:t>１／２；</w:t>
      </w:r>
      <w:r>
        <w:rPr>
          <w:rFonts w:ascii="Microsoft JhengHei" w:hAnsi="Microsoft JhengHei" w:eastAsia="Microsoft JhengHei" w:cs="Microsoft JhengHei"/>
          <w:spacing w:val="13"/>
          <w:sz w:val="19"/>
          <w:szCs w:val="19"/>
        </w:rPr>
        <w:t>粒度</w:t>
      </w:r>
      <w:r>
        <w:rPr>
          <w:rFonts w:ascii="Microsoft JhengHei" w:hAnsi="Microsoft JhengHei" w:eastAsia="Microsoft JhengHei" w:cs="Microsoft JhengHei"/>
          <w:spacing w:val="29"/>
          <w:sz w:val="19"/>
          <w:szCs w:val="19"/>
        </w:rPr>
        <w:t xml:space="preserve"> </w:t>
      </w:r>
      <w:r>
        <w:rPr>
          <w:rFonts w:ascii="Microsoft JhengHei" w:hAnsi="Microsoft JhengHei" w:eastAsia="Microsoft JhengHei" w:cs="Microsoft JhengHei"/>
          <w:spacing w:val="-67"/>
          <w:position w:val="-2"/>
          <w:sz w:val="19"/>
          <w:szCs w:val="19"/>
        </w:rPr>
        <w:t>５</w:t>
      </w:r>
      <w:r>
        <w:rPr>
          <w:rFonts w:ascii="Microsoft JhengHei" w:hAnsi="Microsoft JhengHei" w:eastAsia="Microsoft JhengHei" w:cs="Microsoft JhengHei"/>
          <w:spacing w:val="2"/>
          <w:w w:val="101"/>
          <w:position w:val="-2"/>
          <w:sz w:val="19"/>
          <w:szCs w:val="19"/>
        </w:rPr>
        <w:t xml:space="preserve">  </w:t>
      </w:r>
      <w:r>
        <w:rPr>
          <w:rFonts w:ascii="Microsoft JhengHei" w:hAnsi="Microsoft JhengHei" w:eastAsia="Microsoft JhengHei" w:cs="Microsoft JhengHei"/>
          <w:spacing w:val="-67"/>
          <w:position w:val="-2"/>
          <w:sz w:val="19"/>
          <w:szCs w:val="19"/>
        </w:rPr>
        <w:t>ｍｍ～３０</w:t>
      </w:r>
      <w:r>
        <w:rPr>
          <w:rFonts w:ascii="Microsoft JhengHei" w:hAnsi="Microsoft JhengHei" w:eastAsia="Microsoft JhengHei" w:cs="Microsoft JhengHei"/>
          <w:spacing w:val="1"/>
          <w:position w:val="-2"/>
          <w:sz w:val="19"/>
          <w:szCs w:val="19"/>
        </w:rPr>
        <w:t xml:space="preserve">  </w:t>
      </w:r>
      <w:r>
        <w:rPr>
          <w:rFonts w:ascii="Microsoft JhengHei" w:hAnsi="Microsoft JhengHei" w:eastAsia="Microsoft JhengHei" w:cs="Microsoft JhengHei"/>
          <w:spacing w:val="-67"/>
          <w:position w:val="-2"/>
          <w:sz w:val="19"/>
          <w:szCs w:val="19"/>
        </w:rPr>
        <w:t>ｍｍ</w:t>
      </w:r>
      <w:r>
        <w:rPr>
          <w:rFonts w:ascii="Microsoft JhengHei" w:hAnsi="Microsoft JhengHei" w:eastAsia="Microsoft JhengHei" w:cs="Microsoft JhengHei"/>
          <w:spacing w:val="35"/>
          <w:position w:val="-2"/>
          <w:sz w:val="19"/>
          <w:szCs w:val="19"/>
        </w:rPr>
        <w:t xml:space="preserve"> </w:t>
      </w:r>
      <w:r>
        <w:rPr>
          <w:rFonts w:ascii="Microsoft JhengHei" w:hAnsi="Microsoft JhengHei" w:eastAsia="Microsoft JhengHei" w:cs="Microsoft JhengHei"/>
          <w:spacing w:val="13"/>
          <w:sz w:val="19"/>
          <w:szCs w:val="19"/>
        </w:rPr>
        <w:t>的块，不应出现整块欠烧品。</w:t>
      </w:r>
    </w:p>
    <w:p>
      <w:pPr>
        <w:spacing w:before="43" w:line="180" w:lineRule="auto"/>
        <w:ind w:firstLine="1021"/>
        <w:rPr>
          <w:rFonts w:ascii="Microsoft JhengHei" w:hAnsi="Microsoft JhengHei" w:eastAsia="Microsoft JhengHei" w:cs="Microsoft JhengHei"/>
          <w:sz w:val="19"/>
          <w:szCs w:val="19"/>
        </w:rPr>
      </w:pPr>
      <w:r>
        <w:rPr>
          <w:rFonts w:ascii="Microsoft JhengHei" w:hAnsi="Microsoft JhengHei" w:eastAsia="Microsoft JhengHei" w:cs="Microsoft JhengHei"/>
          <w:spacing w:val="-81"/>
          <w:w w:val="94"/>
          <w:position w:val="-2"/>
          <w:sz w:val="19"/>
          <w:szCs w:val="19"/>
        </w:rPr>
        <w:t>５．４</w:t>
      </w:r>
      <w:r>
        <w:rPr>
          <w:rFonts w:ascii="Microsoft JhengHei" w:hAnsi="Microsoft JhengHei" w:eastAsia="Microsoft JhengHei" w:cs="Microsoft JhengHei"/>
          <w:spacing w:val="11"/>
          <w:w w:val="101"/>
          <w:position w:val="-2"/>
          <w:sz w:val="19"/>
          <w:szCs w:val="19"/>
        </w:rPr>
        <w:t xml:space="preserve">    </w:t>
      </w:r>
      <w:r>
        <w:rPr>
          <w:rFonts w:ascii="Microsoft JhengHei" w:hAnsi="Microsoft JhengHei" w:eastAsia="Microsoft JhengHei" w:cs="Microsoft JhengHei"/>
          <w:spacing w:val="17"/>
          <w:sz w:val="19"/>
          <w:szCs w:val="19"/>
        </w:rPr>
        <w:t>欠烧品和杂质含量应符合以下规定：</w:t>
      </w:r>
    </w:p>
    <w:p>
      <w:pPr>
        <w:spacing w:before="59" w:line="180" w:lineRule="auto"/>
        <w:ind w:firstLine="1650"/>
        <w:rPr>
          <w:rFonts w:ascii="Microsoft JhengHei" w:hAnsi="Microsoft JhengHei" w:eastAsia="Microsoft JhengHei" w:cs="Microsoft JhengHei"/>
          <w:sz w:val="19"/>
          <w:szCs w:val="19"/>
        </w:rPr>
      </w:pPr>
      <w:r>
        <w:rPr>
          <w:rFonts w:ascii="Arial" w:hAnsi="Arial" w:eastAsia="Arial" w:cs="Arial"/>
          <w:spacing w:val="4"/>
          <w:position w:val="1"/>
          <w:sz w:val="19"/>
          <w:szCs w:val="19"/>
        </w:rPr>
        <w:t>—</w:t>
      </w:r>
      <w:r>
        <w:rPr>
          <w:rFonts w:ascii="Arial" w:hAnsi="Arial" w:eastAsia="Arial" w:cs="Arial"/>
          <w:spacing w:val="-30"/>
          <w:position w:val="1"/>
          <w:sz w:val="19"/>
          <w:szCs w:val="19"/>
        </w:rPr>
        <w:t xml:space="preserve"> </w:t>
      </w:r>
      <w:r>
        <w:rPr>
          <w:rFonts w:ascii="Microsoft JhengHei" w:hAnsi="Microsoft JhengHei" w:eastAsia="Microsoft JhengHei" w:cs="Microsoft JhengHei"/>
          <w:spacing w:val="-68"/>
          <w:position w:val="-1"/>
          <w:sz w:val="19"/>
          <w:szCs w:val="19"/>
        </w:rPr>
        <w:t>ＭＳ９８</w:t>
      </w:r>
      <w:r>
        <w:rPr>
          <w:rFonts w:ascii="Microsoft JhengHei" w:hAnsi="Microsoft JhengHei" w:eastAsia="Microsoft JhengHei" w:cs="Microsoft JhengHei"/>
          <w:spacing w:val="4"/>
          <w:position w:val="1"/>
          <w:sz w:val="19"/>
          <w:szCs w:val="19"/>
        </w:rPr>
        <w:t>、</w:t>
      </w:r>
      <w:r>
        <w:rPr>
          <w:rFonts w:ascii="Microsoft JhengHei" w:hAnsi="Microsoft JhengHei" w:eastAsia="Microsoft JhengHei" w:cs="Microsoft JhengHei"/>
          <w:spacing w:val="-68"/>
          <w:position w:val="-1"/>
          <w:sz w:val="19"/>
          <w:szCs w:val="19"/>
        </w:rPr>
        <w:t>ＭＳ９７</w:t>
      </w:r>
      <w:r>
        <w:rPr>
          <w:rFonts w:ascii="Microsoft JhengHei" w:hAnsi="Microsoft JhengHei" w:eastAsia="Microsoft JhengHei" w:cs="Microsoft JhengHei"/>
          <w:spacing w:val="39"/>
          <w:w w:val="101"/>
          <w:position w:val="-1"/>
          <w:sz w:val="19"/>
          <w:szCs w:val="19"/>
        </w:rPr>
        <w:t xml:space="preserve"> </w:t>
      </w:r>
      <w:r>
        <w:rPr>
          <w:rFonts w:ascii="Microsoft JhengHei" w:hAnsi="Microsoft JhengHei" w:eastAsia="Microsoft JhengHei" w:cs="Microsoft JhengHei"/>
          <w:spacing w:val="4"/>
          <w:position w:val="1"/>
          <w:sz w:val="19"/>
          <w:szCs w:val="19"/>
        </w:rPr>
        <w:t>和</w:t>
      </w:r>
      <w:r>
        <w:rPr>
          <w:rFonts w:ascii="Microsoft JhengHei" w:hAnsi="Microsoft JhengHei" w:eastAsia="Microsoft JhengHei" w:cs="Microsoft JhengHei"/>
          <w:spacing w:val="27"/>
          <w:position w:val="1"/>
          <w:sz w:val="19"/>
          <w:szCs w:val="19"/>
        </w:rPr>
        <w:t xml:space="preserve"> </w:t>
      </w:r>
      <w:r>
        <w:rPr>
          <w:rFonts w:ascii="Microsoft JhengHei" w:hAnsi="Microsoft JhengHei" w:eastAsia="Microsoft JhengHei" w:cs="Microsoft JhengHei"/>
          <w:spacing w:val="-68"/>
          <w:position w:val="-1"/>
          <w:sz w:val="19"/>
          <w:szCs w:val="19"/>
        </w:rPr>
        <w:t>ＭＳ９６</w:t>
      </w:r>
      <w:r>
        <w:rPr>
          <w:rFonts w:ascii="Microsoft JhengHei" w:hAnsi="Microsoft JhengHei" w:eastAsia="Microsoft JhengHei" w:cs="Microsoft JhengHei"/>
          <w:spacing w:val="36"/>
          <w:position w:val="-1"/>
          <w:sz w:val="19"/>
          <w:szCs w:val="19"/>
        </w:rPr>
        <w:t xml:space="preserve"> </w:t>
      </w:r>
      <w:r>
        <w:rPr>
          <w:rFonts w:ascii="Microsoft JhengHei" w:hAnsi="Microsoft JhengHei" w:eastAsia="Microsoft JhengHei" w:cs="Microsoft JhengHei"/>
          <w:spacing w:val="4"/>
          <w:position w:val="1"/>
          <w:sz w:val="19"/>
          <w:szCs w:val="19"/>
        </w:rPr>
        <w:t>等牌号，不准有欠烧品和杂质；</w:t>
      </w:r>
    </w:p>
    <w:p>
      <w:pPr>
        <w:spacing w:before="57" w:line="224" w:lineRule="auto"/>
        <w:ind w:firstLine="1650"/>
        <w:rPr>
          <w:rFonts w:ascii="Microsoft JhengHei" w:hAnsi="Microsoft JhengHei" w:eastAsia="Microsoft JhengHei" w:cs="Microsoft JhengHei"/>
          <w:sz w:val="19"/>
          <w:szCs w:val="19"/>
        </w:rPr>
      </w:pPr>
      <w:r>
        <w:rPr>
          <w:rFonts w:ascii="Arial" w:hAnsi="Arial" w:eastAsia="Arial" w:cs="Arial"/>
          <w:spacing w:val="11"/>
          <w:sz w:val="19"/>
          <w:szCs w:val="19"/>
        </w:rPr>
        <w:t>—</w:t>
      </w:r>
      <w:r>
        <w:rPr>
          <w:rFonts w:ascii="Arial" w:hAnsi="Arial" w:eastAsia="Arial" w:cs="Arial"/>
          <w:spacing w:val="-31"/>
          <w:sz w:val="19"/>
          <w:szCs w:val="19"/>
        </w:rPr>
        <w:t xml:space="preserve"> </w:t>
      </w:r>
      <w:r>
        <w:rPr>
          <w:rFonts w:ascii="Microsoft JhengHei" w:hAnsi="Microsoft JhengHei" w:eastAsia="Microsoft JhengHei" w:cs="Microsoft JhengHei"/>
          <w:spacing w:val="-58"/>
          <w:position w:val="-2"/>
          <w:sz w:val="19"/>
          <w:szCs w:val="19"/>
        </w:rPr>
        <w:t>ＭＳ９５</w:t>
      </w:r>
      <w:r>
        <w:rPr>
          <w:rFonts w:ascii="Microsoft JhengHei" w:hAnsi="Microsoft JhengHei" w:eastAsia="Microsoft JhengHei" w:cs="Microsoft JhengHei"/>
          <w:spacing w:val="42"/>
          <w:position w:val="-2"/>
          <w:sz w:val="19"/>
          <w:szCs w:val="19"/>
        </w:rPr>
        <w:t xml:space="preserve"> </w:t>
      </w:r>
      <w:r>
        <w:rPr>
          <w:rFonts w:ascii="Microsoft JhengHei" w:hAnsi="Microsoft JhengHei" w:eastAsia="Microsoft JhengHei" w:cs="Microsoft JhengHei"/>
          <w:spacing w:val="11"/>
          <w:sz w:val="19"/>
          <w:szCs w:val="19"/>
        </w:rPr>
        <w:t>和</w:t>
      </w:r>
      <w:r>
        <w:rPr>
          <w:rFonts w:ascii="Microsoft JhengHei" w:hAnsi="Microsoft JhengHei" w:eastAsia="Microsoft JhengHei" w:cs="Microsoft JhengHei"/>
          <w:spacing w:val="26"/>
          <w:w w:val="101"/>
          <w:sz w:val="19"/>
          <w:szCs w:val="19"/>
        </w:rPr>
        <w:t xml:space="preserve"> </w:t>
      </w:r>
      <w:r>
        <w:rPr>
          <w:rFonts w:ascii="Microsoft JhengHei" w:hAnsi="Microsoft JhengHei" w:eastAsia="Microsoft JhengHei" w:cs="Microsoft JhengHei"/>
          <w:spacing w:val="-58"/>
          <w:position w:val="-2"/>
          <w:sz w:val="19"/>
          <w:szCs w:val="19"/>
        </w:rPr>
        <w:t>ＭＳ９４</w:t>
      </w:r>
      <w:r>
        <w:rPr>
          <w:rFonts w:ascii="Microsoft JhengHei" w:hAnsi="Microsoft JhengHei" w:eastAsia="Microsoft JhengHei" w:cs="Microsoft JhengHei"/>
          <w:spacing w:val="31"/>
          <w:position w:val="-2"/>
          <w:sz w:val="19"/>
          <w:szCs w:val="19"/>
        </w:rPr>
        <w:t xml:space="preserve"> </w:t>
      </w:r>
      <w:r>
        <w:rPr>
          <w:rFonts w:ascii="Microsoft JhengHei" w:hAnsi="Microsoft JhengHei" w:eastAsia="Microsoft JhengHei" w:cs="Microsoft JhengHei"/>
          <w:spacing w:val="11"/>
          <w:sz w:val="19"/>
          <w:szCs w:val="19"/>
        </w:rPr>
        <w:t>等牌号，欠烧品和杂质含量不应大于批量的</w:t>
      </w:r>
      <w:r>
        <w:rPr>
          <w:rFonts w:ascii="Microsoft JhengHei" w:hAnsi="Microsoft JhengHei" w:eastAsia="Microsoft JhengHei" w:cs="Microsoft JhengHei"/>
          <w:spacing w:val="31"/>
          <w:sz w:val="19"/>
          <w:szCs w:val="19"/>
        </w:rPr>
        <w:t xml:space="preserve"> </w:t>
      </w:r>
      <w:r>
        <w:rPr>
          <w:rFonts w:ascii="Microsoft JhengHei" w:hAnsi="Microsoft JhengHei" w:eastAsia="Microsoft JhengHei" w:cs="Microsoft JhengHei"/>
          <w:spacing w:val="-58"/>
          <w:position w:val="-2"/>
          <w:sz w:val="19"/>
          <w:szCs w:val="19"/>
        </w:rPr>
        <w:t>１％</w:t>
      </w:r>
      <w:r>
        <w:rPr>
          <w:rFonts w:ascii="Microsoft JhengHei" w:hAnsi="Microsoft JhengHei" w:eastAsia="Microsoft JhengHei" w:cs="Microsoft JhengHei"/>
          <w:spacing w:val="-58"/>
          <w:sz w:val="19"/>
          <w:szCs w:val="19"/>
        </w:rPr>
        <w:t>；</w:t>
      </w:r>
    </w:p>
    <w:p>
      <w:pPr>
        <w:spacing w:line="204" w:lineRule="auto"/>
        <w:ind w:firstLine="1650"/>
        <w:rPr>
          <w:rFonts w:ascii="Microsoft JhengHei" w:hAnsi="Microsoft JhengHei" w:eastAsia="Microsoft JhengHei" w:cs="Microsoft JhengHei"/>
          <w:sz w:val="19"/>
          <w:szCs w:val="19"/>
        </w:rPr>
      </w:pPr>
      <w:r>
        <w:rPr>
          <w:rFonts w:ascii="Arial" w:hAnsi="Arial" w:eastAsia="Arial" w:cs="Arial"/>
          <w:spacing w:val="11"/>
          <w:sz w:val="19"/>
          <w:szCs w:val="19"/>
        </w:rPr>
        <w:t>—</w:t>
      </w:r>
      <w:r>
        <w:rPr>
          <w:rFonts w:ascii="Arial" w:hAnsi="Arial" w:eastAsia="Arial" w:cs="Arial"/>
          <w:spacing w:val="-26"/>
          <w:sz w:val="19"/>
          <w:szCs w:val="19"/>
        </w:rPr>
        <w:t xml:space="preserve"> </w:t>
      </w:r>
      <w:r>
        <w:rPr>
          <w:rFonts w:ascii="Microsoft JhengHei" w:hAnsi="Microsoft JhengHei" w:eastAsia="Microsoft JhengHei" w:cs="Microsoft JhengHei"/>
          <w:spacing w:val="-58"/>
          <w:position w:val="-2"/>
          <w:sz w:val="19"/>
          <w:szCs w:val="19"/>
        </w:rPr>
        <w:t>ＭＳ９２</w:t>
      </w:r>
      <w:r>
        <w:rPr>
          <w:rFonts w:ascii="Microsoft JhengHei" w:hAnsi="Microsoft JhengHei" w:eastAsia="Microsoft JhengHei" w:cs="Microsoft JhengHei"/>
          <w:spacing w:val="39"/>
          <w:position w:val="-2"/>
          <w:sz w:val="19"/>
          <w:szCs w:val="19"/>
        </w:rPr>
        <w:t xml:space="preserve"> </w:t>
      </w:r>
      <w:r>
        <w:rPr>
          <w:rFonts w:ascii="Microsoft JhengHei" w:hAnsi="Microsoft JhengHei" w:eastAsia="Microsoft JhengHei" w:cs="Microsoft JhengHei"/>
          <w:spacing w:val="11"/>
          <w:sz w:val="19"/>
          <w:szCs w:val="19"/>
        </w:rPr>
        <w:t>和</w:t>
      </w:r>
      <w:r>
        <w:rPr>
          <w:rFonts w:ascii="Microsoft JhengHei" w:hAnsi="Microsoft JhengHei" w:eastAsia="Microsoft JhengHei" w:cs="Microsoft JhengHei"/>
          <w:spacing w:val="26"/>
          <w:w w:val="101"/>
          <w:sz w:val="19"/>
          <w:szCs w:val="19"/>
        </w:rPr>
        <w:t xml:space="preserve"> </w:t>
      </w:r>
      <w:r>
        <w:rPr>
          <w:rFonts w:ascii="Microsoft JhengHei" w:hAnsi="Microsoft JhengHei" w:eastAsia="Microsoft JhengHei" w:cs="Microsoft JhengHei"/>
          <w:spacing w:val="-58"/>
          <w:position w:val="-2"/>
          <w:sz w:val="19"/>
          <w:szCs w:val="19"/>
        </w:rPr>
        <w:t>ＭＳ９０</w:t>
      </w:r>
      <w:r>
        <w:rPr>
          <w:rFonts w:ascii="Microsoft JhengHei" w:hAnsi="Microsoft JhengHei" w:eastAsia="Microsoft JhengHei" w:cs="Microsoft JhengHei"/>
          <w:spacing w:val="33"/>
          <w:w w:val="101"/>
          <w:position w:val="-2"/>
          <w:sz w:val="19"/>
          <w:szCs w:val="19"/>
        </w:rPr>
        <w:t xml:space="preserve"> </w:t>
      </w:r>
      <w:r>
        <w:rPr>
          <w:rFonts w:ascii="Microsoft JhengHei" w:hAnsi="Microsoft JhengHei" w:eastAsia="Microsoft JhengHei" w:cs="Microsoft JhengHei"/>
          <w:spacing w:val="11"/>
          <w:sz w:val="19"/>
          <w:szCs w:val="19"/>
        </w:rPr>
        <w:t>等牌号，欠烧品和杂质含量不应大于批量的</w:t>
      </w:r>
      <w:r>
        <w:rPr>
          <w:rFonts w:ascii="Microsoft JhengHei" w:hAnsi="Microsoft JhengHei" w:eastAsia="Microsoft JhengHei" w:cs="Microsoft JhengHei"/>
          <w:spacing w:val="26"/>
          <w:w w:val="101"/>
          <w:sz w:val="19"/>
          <w:szCs w:val="19"/>
        </w:rPr>
        <w:t xml:space="preserve"> </w:t>
      </w:r>
      <w:r>
        <w:rPr>
          <w:rFonts w:ascii="Microsoft JhengHei" w:hAnsi="Microsoft JhengHei" w:eastAsia="Microsoft JhengHei" w:cs="Microsoft JhengHei"/>
          <w:spacing w:val="-58"/>
          <w:position w:val="-2"/>
          <w:sz w:val="19"/>
          <w:szCs w:val="19"/>
        </w:rPr>
        <w:t>２％</w:t>
      </w:r>
      <w:r>
        <w:rPr>
          <w:rFonts w:ascii="Microsoft JhengHei" w:hAnsi="Microsoft JhengHei" w:eastAsia="Microsoft JhengHei" w:cs="Microsoft JhengHei"/>
          <w:spacing w:val="-58"/>
          <w:sz w:val="19"/>
          <w:szCs w:val="19"/>
        </w:rPr>
        <w:t>；</w:t>
      </w:r>
    </w:p>
    <w:p>
      <w:pPr>
        <w:spacing w:before="25" w:line="185" w:lineRule="auto"/>
        <w:ind w:firstLine="1650"/>
        <w:rPr>
          <w:rFonts w:ascii="Microsoft JhengHei" w:hAnsi="Microsoft JhengHei" w:eastAsia="Microsoft JhengHei" w:cs="Microsoft JhengHei"/>
          <w:sz w:val="19"/>
          <w:szCs w:val="19"/>
        </w:rPr>
      </w:pPr>
      <w:r>
        <w:rPr>
          <w:rFonts w:ascii="Arial" w:hAnsi="Arial" w:eastAsia="Arial" w:cs="Arial"/>
          <w:spacing w:val="13"/>
          <w:sz w:val="19"/>
          <w:szCs w:val="19"/>
        </w:rPr>
        <w:t>—</w:t>
      </w:r>
      <w:r>
        <w:rPr>
          <w:rFonts w:ascii="Microsoft JhengHei" w:hAnsi="Microsoft JhengHei" w:eastAsia="Microsoft JhengHei" w:cs="Microsoft JhengHei"/>
          <w:spacing w:val="13"/>
          <w:sz w:val="19"/>
          <w:szCs w:val="19"/>
        </w:rPr>
        <w:t>其他牌号，欠烧品和杂质含量不应大于批量的</w:t>
      </w:r>
      <w:r>
        <w:rPr>
          <w:rFonts w:ascii="Microsoft JhengHei" w:hAnsi="Microsoft JhengHei" w:eastAsia="Microsoft JhengHei" w:cs="Microsoft JhengHei"/>
          <w:spacing w:val="28"/>
          <w:sz w:val="19"/>
          <w:szCs w:val="19"/>
        </w:rPr>
        <w:t xml:space="preserve"> </w:t>
      </w:r>
      <w:r>
        <w:rPr>
          <w:rFonts w:ascii="Microsoft JhengHei" w:hAnsi="Microsoft JhengHei" w:eastAsia="Microsoft JhengHei" w:cs="Microsoft JhengHei"/>
          <w:spacing w:val="-29"/>
          <w:position w:val="-2"/>
          <w:sz w:val="19"/>
          <w:szCs w:val="19"/>
        </w:rPr>
        <w:t>３％</w:t>
      </w:r>
      <w:r>
        <w:rPr>
          <w:rFonts w:ascii="Microsoft JhengHei" w:hAnsi="Microsoft JhengHei" w:eastAsia="Microsoft JhengHei" w:cs="Microsoft JhengHei"/>
          <w:spacing w:val="-29"/>
          <w:sz w:val="19"/>
          <w:szCs w:val="19"/>
        </w:rPr>
        <w:t>；</w:t>
      </w:r>
    </w:p>
    <w:p>
      <w:pPr>
        <w:spacing w:before="53" w:line="180" w:lineRule="auto"/>
        <w:ind w:firstLine="1650"/>
        <w:rPr>
          <w:rFonts w:ascii="Microsoft JhengHei" w:hAnsi="Microsoft JhengHei" w:eastAsia="Microsoft JhengHei" w:cs="Microsoft JhengHei"/>
          <w:sz w:val="19"/>
          <w:szCs w:val="19"/>
        </w:rPr>
      </w:pPr>
      <w:r>
        <w:rPr>
          <w:rFonts w:ascii="Arial" w:hAnsi="Arial" w:eastAsia="Arial" w:cs="Arial"/>
          <w:spacing w:val="6"/>
          <w:position w:val="1"/>
          <w:sz w:val="19"/>
          <w:szCs w:val="19"/>
        </w:rPr>
        <w:t>—</w:t>
      </w:r>
      <w:r>
        <w:rPr>
          <w:rFonts w:ascii="Arial" w:hAnsi="Arial" w:eastAsia="Arial" w:cs="Arial"/>
          <w:spacing w:val="-15"/>
          <w:position w:val="1"/>
          <w:sz w:val="19"/>
          <w:szCs w:val="19"/>
        </w:rPr>
        <w:t xml:space="preserve"> </w:t>
      </w:r>
      <w:r>
        <w:rPr>
          <w:rFonts w:ascii="Microsoft JhengHei" w:hAnsi="Microsoft JhengHei" w:eastAsia="Microsoft JhengHei" w:cs="Microsoft JhengHei"/>
          <w:spacing w:val="6"/>
          <w:position w:val="1"/>
          <w:sz w:val="19"/>
          <w:szCs w:val="19"/>
        </w:rPr>
        <w:t>杂质中焦炭含量（以大于</w:t>
      </w:r>
      <w:r>
        <w:rPr>
          <w:rFonts w:ascii="Microsoft JhengHei" w:hAnsi="Microsoft JhengHei" w:eastAsia="Microsoft JhengHei" w:cs="Microsoft JhengHei"/>
          <w:spacing w:val="22"/>
          <w:w w:val="101"/>
          <w:position w:val="1"/>
          <w:sz w:val="19"/>
          <w:szCs w:val="19"/>
        </w:rPr>
        <w:t xml:space="preserve"> </w:t>
      </w:r>
      <w:r>
        <w:rPr>
          <w:rFonts w:ascii="Microsoft JhengHei" w:hAnsi="Microsoft JhengHei" w:eastAsia="Microsoft JhengHei" w:cs="Microsoft JhengHei"/>
          <w:spacing w:val="-67"/>
          <w:position w:val="-1"/>
          <w:sz w:val="19"/>
          <w:szCs w:val="19"/>
        </w:rPr>
        <w:t>５</w:t>
      </w:r>
      <w:r>
        <w:rPr>
          <w:rFonts w:ascii="Microsoft JhengHei" w:hAnsi="Microsoft JhengHei" w:eastAsia="Microsoft JhengHei" w:cs="Microsoft JhengHei"/>
          <w:spacing w:val="47"/>
          <w:w w:val="101"/>
          <w:position w:val="-1"/>
          <w:sz w:val="19"/>
          <w:szCs w:val="19"/>
        </w:rPr>
        <w:t xml:space="preserve"> </w:t>
      </w:r>
      <w:r>
        <w:rPr>
          <w:rFonts w:ascii="Microsoft JhengHei" w:hAnsi="Microsoft JhengHei" w:eastAsia="Microsoft JhengHei" w:cs="Microsoft JhengHei"/>
          <w:spacing w:val="-67"/>
          <w:position w:val="-1"/>
          <w:sz w:val="19"/>
          <w:szCs w:val="19"/>
        </w:rPr>
        <w:t>ｍｍ</w:t>
      </w:r>
      <w:r>
        <w:rPr>
          <w:rFonts w:ascii="Microsoft JhengHei" w:hAnsi="Microsoft JhengHei" w:eastAsia="Microsoft JhengHei" w:cs="Microsoft JhengHei"/>
          <w:spacing w:val="21"/>
          <w:position w:val="-1"/>
          <w:sz w:val="19"/>
          <w:szCs w:val="19"/>
        </w:rPr>
        <w:t xml:space="preserve"> </w:t>
      </w:r>
      <w:r>
        <w:rPr>
          <w:rFonts w:ascii="Microsoft JhengHei" w:hAnsi="Microsoft JhengHei" w:eastAsia="Microsoft JhengHei" w:cs="Microsoft JhengHei"/>
          <w:spacing w:val="6"/>
          <w:position w:val="1"/>
          <w:sz w:val="19"/>
          <w:szCs w:val="19"/>
        </w:rPr>
        <w:t>者计</w:t>
      </w:r>
      <w:r>
        <w:rPr>
          <w:rFonts w:ascii="Microsoft JhengHei" w:hAnsi="Microsoft JhengHei" w:eastAsia="Microsoft JhengHei" w:cs="Microsoft JhengHei"/>
          <w:spacing w:val="-67"/>
          <w:position w:val="1"/>
          <w:sz w:val="19"/>
          <w:szCs w:val="19"/>
        </w:rPr>
        <w:t>）</w:t>
      </w:r>
      <w:r>
        <w:rPr>
          <w:rFonts w:ascii="Microsoft JhengHei" w:hAnsi="Microsoft JhengHei" w:eastAsia="Microsoft JhengHei" w:cs="Microsoft JhengHei"/>
          <w:spacing w:val="-67"/>
          <w:position w:val="-1"/>
          <w:sz w:val="19"/>
          <w:szCs w:val="19"/>
        </w:rPr>
        <w:t>：ＭＳ９５</w:t>
      </w:r>
      <w:r>
        <w:rPr>
          <w:rFonts w:ascii="Microsoft JhengHei" w:hAnsi="Microsoft JhengHei" w:eastAsia="Microsoft JhengHei" w:cs="Microsoft JhengHei"/>
          <w:spacing w:val="6"/>
          <w:position w:val="1"/>
          <w:sz w:val="19"/>
          <w:szCs w:val="19"/>
        </w:rPr>
        <w:t>、</w:t>
      </w:r>
      <w:r>
        <w:rPr>
          <w:rFonts w:ascii="Microsoft JhengHei" w:hAnsi="Microsoft JhengHei" w:eastAsia="Microsoft JhengHei" w:cs="Microsoft JhengHei"/>
          <w:spacing w:val="-67"/>
          <w:position w:val="-1"/>
          <w:sz w:val="19"/>
          <w:szCs w:val="19"/>
        </w:rPr>
        <w:t>ＭＳ９４</w:t>
      </w:r>
      <w:r>
        <w:rPr>
          <w:rFonts w:ascii="Microsoft JhengHei" w:hAnsi="Microsoft JhengHei" w:eastAsia="Microsoft JhengHei" w:cs="Microsoft JhengHei"/>
          <w:spacing w:val="6"/>
          <w:position w:val="1"/>
          <w:sz w:val="19"/>
          <w:szCs w:val="19"/>
        </w:rPr>
        <w:t>、</w:t>
      </w:r>
      <w:r>
        <w:rPr>
          <w:rFonts w:ascii="Microsoft JhengHei" w:hAnsi="Microsoft JhengHei" w:eastAsia="Microsoft JhengHei" w:cs="Microsoft JhengHei"/>
          <w:spacing w:val="-67"/>
          <w:position w:val="-1"/>
          <w:sz w:val="19"/>
          <w:szCs w:val="19"/>
        </w:rPr>
        <w:t>ＭＳ９２</w:t>
      </w:r>
      <w:r>
        <w:rPr>
          <w:rFonts w:ascii="Microsoft JhengHei" w:hAnsi="Microsoft JhengHei" w:eastAsia="Microsoft JhengHei" w:cs="Microsoft JhengHei"/>
          <w:spacing w:val="39"/>
          <w:position w:val="-1"/>
          <w:sz w:val="19"/>
          <w:szCs w:val="19"/>
        </w:rPr>
        <w:t xml:space="preserve"> </w:t>
      </w:r>
      <w:r>
        <w:rPr>
          <w:rFonts w:ascii="Microsoft JhengHei" w:hAnsi="Microsoft JhengHei" w:eastAsia="Microsoft JhengHei" w:cs="Microsoft JhengHei"/>
          <w:spacing w:val="6"/>
          <w:position w:val="1"/>
          <w:sz w:val="19"/>
          <w:szCs w:val="19"/>
        </w:rPr>
        <w:t>和</w:t>
      </w:r>
      <w:r>
        <w:rPr>
          <w:rFonts w:ascii="Microsoft JhengHei" w:hAnsi="Microsoft JhengHei" w:eastAsia="Microsoft JhengHei" w:cs="Microsoft JhengHei"/>
          <w:spacing w:val="21"/>
          <w:position w:val="1"/>
          <w:sz w:val="19"/>
          <w:szCs w:val="19"/>
        </w:rPr>
        <w:t xml:space="preserve"> </w:t>
      </w:r>
      <w:r>
        <w:rPr>
          <w:rFonts w:ascii="Microsoft JhengHei" w:hAnsi="Microsoft JhengHei" w:eastAsia="Microsoft JhengHei" w:cs="Microsoft JhengHei"/>
          <w:spacing w:val="-67"/>
          <w:position w:val="-1"/>
          <w:sz w:val="19"/>
          <w:szCs w:val="19"/>
        </w:rPr>
        <w:t>ＭＳ９０</w:t>
      </w:r>
      <w:r>
        <w:rPr>
          <w:rFonts w:ascii="Microsoft JhengHei" w:hAnsi="Microsoft JhengHei" w:eastAsia="Microsoft JhengHei" w:cs="Microsoft JhengHei"/>
          <w:spacing w:val="33"/>
          <w:position w:val="-1"/>
          <w:sz w:val="19"/>
          <w:szCs w:val="19"/>
        </w:rPr>
        <w:t xml:space="preserve"> </w:t>
      </w:r>
      <w:r>
        <w:rPr>
          <w:rFonts w:ascii="Microsoft JhengHei" w:hAnsi="Microsoft JhengHei" w:eastAsia="Microsoft JhengHei" w:cs="Microsoft JhengHei"/>
          <w:spacing w:val="6"/>
          <w:position w:val="1"/>
          <w:sz w:val="19"/>
          <w:szCs w:val="19"/>
        </w:rPr>
        <w:t>等牌号的焦炭含量不应大</w:t>
      </w:r>
    </w:p>
    <w:p>
      <w:pPr>
        <w:spacing w:before="58" w:line="216" w:lineRule="auto"/>
        <w:ind w:left="4503" w:right="102" w:hanging="2629"/>
        <w:rPr>
          <w:rFonts w:ascii="Microsoft JhengHei" w:hAnsi="Microsoft JhengHei" w:eastAsia="Microsoft JhengHei" w:cs="Microsoft JhengHei"/>
          <w:sz w:val="19"/>
          <w:szCs w:val="19"/>
        </w:rPr>
      </w:pPr>
      <w:r>
        <mc:AlternateContent>
          <mc:Choice Requires="wps">
            <w:drawing>
              <wp:anchor distT="0" distB="0" distL="0" distR="0" simplePos="0" relativeHeight="251669504" behindDoc="0" locked="0" layoutInCell="1" allowOverlap="1">
                <wp:simplePos x="0" y="0"/>
                <wp:positionH relativeFrom="column">
                  <wp:posOffset>991235</wp:posOffset>
                </wp:positionH>
                <wp:positionV relativeFrom="paragraph">
                  <wp:posOffset>1259840</wp:posOffset>
                </wp:positionV>
                <wp:extent cx="3203575" cy="364490"/>
                <wp:effectExtent l="1419860" t="0" r="0" b="0"/>
                <wp:wrapNone/>
                <wp:docPr id="16" name="TextBox 16"/>
                <wp:cNvGraphicFramePr/>
                <a:graphic xmlns:a="http://schemas.openxmlformats.org/drawingml/2006/main">
                  <a:graphicData uri="http://schemas.microsoft.com/office/word/2010/wordprocessingShape">
                    <wps:wsp>
                      <wps:cNvSpPr txBox="1"/>
                      <wps:spPr>
                        <a:xfrm rot="18000000">
                          <a:off x="991734" y="1260459"/>
                          <a:ext cx="3203575" cy="3644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95" w:lineRule="auto"/>
                              <w:ind w:firstLine="20"/>
                              <w:rPr>
                                <w:rFonts w:ascii="新宋体" w:hAnsi="新宋体" w:eastAsia="新宋体" w:cs="新宋体"/>
                                <w:sz w:val="48"/>
                                <w:szCs w:val="48"/>
                              </w:rPr>
                            </w:pPr>
                            <w:r>
                              <w:rPr>
                                <w:rFonts w:ascii="新宋体" w:hAnsi="新宋体" w:eastAsia="新宋体" w:cs="新宋体"/>
                                <w:spacing w:val="-5"/>
                                <w:sz w:val="48"/>
                                <w:szCs w:val="48"/>
                                <w14:textOutline w14:w="12700" w14:cap="flat" w14:cmpd="sng">
                                  <w14:solidFill>
                                    <w14:srgbClr w14:val="000000">
                                      <w14:alpha w14:val="69803"/>
                                    </w14:srgbClr>
                                  </w14:solidFill>
                                  <w14:prstDash w14:val="solid"/>
                                  <w14:miter w14:val="0"/>
                                </w14:textOutline>
                                <w14:textFill>
                                  <w14:noFill/>
                                </w14:textFill>
                              </w:rPr>
                              <w:t>百度文库个人用户</w:t>
                            </w:r>
                            <w:r>
                              <w:rPr>
                                <w:rFonts w:ascii="新宋体" w:hAnsi="新宋体" w:eastAsia="新宋体" w:cs="新宋体"/>
                                <w:spacing w:val="24"/>
                                <w:sz w:val="48"/>
                                <w:szCs w:val="48"/>
                                <w14:textFill>
                                  <w14:noFill/>
                                </w14:textFill>
                              </w:rPr>
                              <w:t xml:space="preserve"> </w:t>
                            </w:r>
                            <w:r>
                              <w:rPr>
                                <w:rFonts w:ascii="新宋体" w:hAnsi="新宋体" w:eastAsia="新宋体" w:cs="新宋体"/>
                                <w:spacing w:val="-5"/>
                                <w:sz w:val="48"/>
                                <w:szCs w:val="48"/>
                                <w14:textOutline w14:w="12700" w14:cap="flat" w14:cmpd="sng">
                                  <w14:solidFill>
                                    <w14:srgbClr w14:val="000000">
                                      <w14:alpha w14:val="69803"/>
                                    </w14:srgbClr>
                                  </w14:solidFill>
                                  <w14:prstDash w14:val="solid"/>
                                  <w14:miter w14:val="0"/>
                                </w14:textOutline>
                                <w14:textFill>
                                  <w14:noFill/>
                                </w14:textFill>
                              </w:rPr>
                              <w:t>专用</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6" o:spid="_x0000_s1026" o:spt="202" type="#_x0000_t202" style="position:absolute;left:0pt;margin-left:78.05pt;margin-top:99.2pt;height:28.7pt;width:252.25pt;rotation:-3932160f;z-index:251669504;mso-width-relative:page;mso-height-relative:page;" filled="f" stroked="f" coordsize="21600,21600" o:gfxdata="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L93ErZAAAACwEAAA8A&#10;AAAAAAAAAQAgAAAAIgAAAGRycy9kb3ducmV2LnhtbFBLAQIUABQAAAAIAIdO4kDI4HtbFgIAAB8E&#10;AAAOAAAAAAAAAAEAIAAAACgBAABkcnMvZTJvRG9jLnhtbFBLBQYAAAAABgAGAFkBAACwBQAAAAA=&#10;">
                <v:fill on="f" focussize="0,0"/>
                <v:stroke on="f" weight="0pt"/>
                <v:imagedata o:title=""/>
                <o:lock v:ext="edit" aspectratio="f"/>
                <v:textbox inset="0mm,0mm,0mm,0mm">
                  <w:txbxContent>
                    <w:p>
                      <w:pPr>
                        <w:spacing w:before="19" w:line="195" w:lineRule="auto"/>
                        <w:ind w:firstLine="20"/>
                        <w:rPr>
                          <w:rFonts w:ascii="新宋体" w:hAnsi="新宋体" w:eastAsia="新宋体" w:cs="新宋体"/>
                          <w:sz w:val="48"/>
                          <w:szCs w:val="48"/>
                        </w:rPr>
                      </w:pPr>
                      <w:r>
                        <w:rPr>
                          <w:rFonts w:ascii="新宋体" w:hAnsi="新宋体" w:eastAsia="新宋体" w:cs="新宋体"/>
                          <w:spacing w:val="-5"/>
                          <w:sz w:val="48"/>
                          <w:szCs w:val="48"/>
                          <w14:textOutline w14:w="12700" w14:cap="flat" w14:cmpd="sng">
                            <w14:solidFill>
                              <w14:srgbClr w14:val="000000">
                                <w14:alpha w14:val="69803"/>
                              </w14:srgbClr>
                            </w14:solidFill>
                            <w14:prstDash w14:val="solid"/>
                            <w14:miter w14:val="0"/>
                          </w14:textOutline>
                          <w14:textFill>
                            <w14:noFill/>
                          </w14:textFill>
                        </w:rPr>
                        <w:t>百度文库个人用户</w:t>
                      </w:r>
                      <w:r>
                        <w:rPr>
                          <w:rFonts w:ascii="新宋体" w:hAnsi="新宋体" w:eastAsia="新宋体" w:cs="新宋体"/>
                          <w:spacing w:val="24"/>
                          <w:sz w:val="48"/>
                          <w:szCs w:val="48"/>
                          <w14:textFill>
                            <w14:noFill/>
                          </w14:textFill>
                        </w:rPr>
                        <w:t xml:space="preserve"> </w:t>
                      </w:r>
                      <w:r>
                        <w:rPr>
                          <w:rFonts w:ascii="新宋体" w:hAnsi="新宋体" w:eastAsia="新宋体" w:cs="新宋体"/>
                          <w:spacing w:val="-5"/>
                          <w:sz w:val="48"/>
                          <w:szCs w:val="48"/>
                          <w14:textOutline w14:w="12700" w14:cap="flat" w14:cmpd="sng">
                            <w14:solidFill>
                              <w14:srgbClr w14:val="000000">
                                <w14:alpha w14:val="69803"/>
                              </w14:srgbClr>
                            </w14:solidFill>
                            <w14:prstDash w14:val="solid"/>
                            <w14:miter w14:val="0"/>
                          </w14:textOutline>
                          <w14:textFill>
                            <w14:noFill/>
                          </w14:textFill>
                        </w:rPr>
                        <w:t>专用</w:t>
                      </w:r>
                    </w:p>
                  </w:txbxContent>
                </v:textbox>
              </v:shape>
            </w:pict>
          </mc:Fallback>
        </mc:AlternateContent>
      </w:r>
      <w:r>
        <w:rPr>
          <w:rFonts w:ascii="Microsoft JhengHei" w:hAnsi="Microsoft JhengHei" w:eastAsia="Microsoft JhengHei" w:cs="Microsoft JhengHei"/>
          <w:spacing w:val="8"/>
          <w:position w:val="1"/>
          <w:sz w:val="19"/>
          <w:szCs w:val="19"/>
        </w:rPr>
        <w:t>于批量的</w:t>
      </w:r>
      <w:r>
        <w:rPr>
          <w:rFonts w:ascii="Microsoft JhengHei" w:hAnsi="Microsoft JhengHei" w:eastAsia="Microsoft JhengHei" w:cs="Microsoft JhengHei"/>
          <w:spacing w:val="43"/>
          <w:position w:val="1"/>
          <w:sz w:val="19"/>
          <w:szCs w:val="19"/>
        </w:rPr>
        <w:t xml:space="preserve"> </w:t>
      </w:r>
      <w:r>
        <w:rPr>
          <w:rFonts w:ascii="Microsoft JhengHei" w:hAnsi="Microsoft JhengHei" w:eastAsia="Microsoft JhengHei" w:cs="Microsoft JhengHei"/>
          <w:spacing w:val="-68"/>
          <w:position w:val="-1"/>
          <w:sz w:val="19"/>
          <w:szCs w:val="19"/>
        </w:rPr>
        <w:t>０．０３％</w:t>
      </w:r>
      <w:r>
        <w:rPr>
          <w:rFonts w:ascii="Microsoft JhengHei" w:hAnsi="Microsoft JhengHei" w:eastAsia="Microsoft JhengHei" w:cs="Microsoft JhengHei"/>
          <w:spacing w:val="-68"/>
          <w:sz w:val="19"/>
          <w:szCs w:val="19"/>
        </w:rPr>
        <w:t>；ＭＳ８８</w:t>
      </w:r>
      <w:r>
        <w:rPr>
          <w:rFonts w:ascii="Microsoft JhengHei" w:hAnsi="Microsoft JhengHei" w:eastAsia="Microsoft JhengHei" w:cs="Microsoft JhengHei"/>
          <w:spacing w:val="8"/>
          <w:position w:val="1"/>
          <w:sz w:val="19"/>
          <w:szCs w:val="19"/>
        </w:rPr>
        <w:t>、</w:t>
      </w:r>
      <w:r>
        <w:rPr>
          <w:rFonts w:ascii="Microsoft JhengHei" w:hAnsi="Microsoft JhengHei" w:eastAsia="Microsoft JhengHei" w:cs="Microsoft JhengHei"/>
          <w:spacing w:val="-68"/>
          <w:position w:val="-1"/>
          <w:sz w:val="19"/>
          <w:szCs w:val="19"/>
        </w:rPr>
        <w:t>ＭＳ８７</w:t>
      </w:r>
      <w:r>
        <w:rPr>
          <w:rFonts w:ascii="Microsoft JhengHei" w:hAnsi="Microsoft JhengHei" w:eastAsia="Microsoft JhengHei" w:cs="Microsoft JhengHei"/>
          <w:spacing w:val="8"/>
          <w:position w:val="1"/>
          <w:sz w:val="19"/>
          <w:szCs w:val="19"/>
        </w:rPr>
        <w:t>、</w:t>
      </w:r>
      <w:r>
        <w:rPr>
          <w:rFonts w:ascii="Microsoft JhengHei" w:hAnsi="Microsoft JhengHei" w:eastAsia="Microsoft JhengHei" w:cs="Microsoft JhengHei"/>
          <w:spacing w:val="-68"/>
          <w:position w:val="-1"/>
          <w:sz w:val="19"/>
          <w:szCs w:val="19"/>
        </w:rPr>
        <w:t>ＭＳ８４</w:t>
      </w:r>
      <w:r>
        <w:rPr>
          <w:rFonts w:ascii="Microsoft JhengHei" w:hAnsi="Microsoft JhengHei" w:eastAsia="Microsoft JhengHei" w:cs="Microsoft JhengHei"/>
          <w:spacing w:val="35"/>
          <w:position w:val="-1"/>
          <w:sz w:val="19"/>
          <w:szCs w:val="19"/>
        </w:rPr>
        <w:t xml:space="preserve"> </w:t>
      </w:r>
      <w:r>
        <w:rPr>
          <w:rFonts w:ascii="Microsoft JhengHei" w:hAnsi="Microsoft JhengHei" w:eastAsia="Microsoft JhengHei" w:cs="Microsoft JhengHei"/>
          <w:spacing w:val="8"/>
          <w:position w:val="1"/>
          <w:sz w:val="19"/>
          <w:szCs w:val="19"/>
        </w:rPr>
        <w:t>和</w:t>
      </w:r>
      <w:r>
        <w:rPr>
          <w:rFonts w:ascii="Microsoft JhengHei" w:hAnsi="Microsoft JhengHei" w:eastAsia="Microsoft JhengHei" w:cs="Microsoft JhengHei"/>
          <w:spacing w:val="26"/>
          <w:w w:val="101"/>
          <w:position w:val="1"/>
          <w:sz w:val="19"/>
          <w:szCs w:val="19"/>
        </w:rPr>
        <w:t xml:space="preserve"> </w:t>
      </w:r>
      <w:r>
        <w:rPr>
          <w:rFonts w:ascii="Microsoft JhengHei" w:hAnsi="Microsoft JhengHei" w:eastAsia="Microsoft JhengHei" w:cs="Microsoft JhengHei"/>
          <w:spacing w:val="-68"/>
          <w:position w:val="-1"/>
          <w:sz w:val="19"/>
          <w:szCs w:val="19"/>
        </w:rPr>
        <w:t>ＭＳ８３</w:t>
      </w:r>
      <w:r>
        <w:rPr>
          <w:rFonts w:ascii="Microsoft JhengHei" w:hAnsi="Microsoft JhengHei" w:eastAsia="Microsoft JhengHei" w:cs="Microsoft JhengHei"/>
          <w:spacing w:val="36"/>
          <w:position w:val="-1"/>
          <w:sz w:val="19"/>
          <w:szCs w:val="19"/>
        </w:rPr>
        <w:t xml:space="preserve"> </w:t>
      </w:r>
      <w:r>
        <w:rPr>
          <w:rFonts w:ascii="Microsoft JhengHei" w:hAnsi="Microsoft JhengHei" w:eastAsia="Microsoft JhengHei" w:cs="Microsoft JhengHei"/>
          <w:spacing w:val="8"/>
          <w:position w:val="1"/>
          <w:sz w:val="19"/>
          <w:szCs w:val="19"/>
        </w:rPr>
        <w:t>等牌号的焦炭含量不应大于批量的</w:t>
      </w:r>
      <w:r>
        <w:rPr>
          <w:rFonts w:ascii="Microsoft JhengHei" w:hAnsi="Microsoft JhengHei" w:eastAsia="Microsoft JhengHei" w:cs="Microsoft JhengHei"/>
          <w:spacing w:val="25"/>
          <w:position w:val="1"/>
          <w:sz w:val="19"/>
          <w:szCs w:val="19"/>
        </w:rPr>
        <w:t xml:space="preserve"> </w:t>
      </w:r>
      <w:r>
        <w:rPr>
          <w:rFonts w:ascii="Microsoft JhengHei" w:hAnsi="Microsoft JhengHei" w:eastAsia="Microsoft JhengHei" w:cs="Microsoft JhengHei"/>
          <w:spacing w:val="-68"/>
          <w:position w:val="-1"/>
          <w:sz w:val="19"/>
          <w:szCs w:val="19"/>
        </w:rPr>
        <w:t>０．０４％</w:t>
      </w:r>
      <w:r>
        <w:rPr>
          <w:rFonts w:ascii="Microsoft JhengHei" w:hAnsi="Microsoft JhengHei" w:eastAsia="Microsoft JhengHei" w:cs="Microsoft JhengHei"/>
          <w:spacing w:val="8"/>
          <w:position w:val="1"/>
          <w:sz w:val="19"/>
          <w:szCs w:val="19"/>
        </w:rPr>
        <w:t>。</w:t>
      </w:r>
      <w:r>
        <w:rPr>
          <w:rFonts w:ascii="Microsoft JhengHei" w:hAnsi="Microsoft JhengHei" w:eastAsia="Microsoft JhengHei" w:cs="Microsoft JhengHei"/>
          <w:position w:val="1"/>
          <w:sz w:val="19"/>
          <w:szCs w:val="19"/>
        </w:rPr>
        <w:t xml:space="preserve"> </w:t>
      </w:r>
      <w:r>
        <w:rPr>
          <w:rFonts w:ascii="Microsoft JhengHei" w:hAnsi="Microsoft JhengHei" w:eastAsia="Microsoft JhengHei" w:cs="Microsoft JhengHei"/>
          <w:spacing w:val="-2"/>
          <w:sz w:val="19"/>
          <w:szCs w:val="19"/>
        </w:rPr>
        <w:t>表</w:t>
      </w:r>
      <w:r>
        <w:rPr>
          <w:rFonts w:ascii="Microsoft JhengHei" w:hAnsi="Microsoft JhengHei" w:eastAsia="Microsoft JhengHei" w:cs="Microsoft JhengHei"/>
          <w:spacing w:val="8"/>
          <w:sz w:val="19"/>
          <w:szCs w:val="19"/>
        </w:rPr>
        <w:t xml:space="preserve">  </w:t>
      </w:r>
      <w:r>
        <w:rPr>
          <w:rFonts w:ascii="Microsoft JhengHei" w:hAnsi="Microsoft JhengHei" w:eastAsia="Microsoft JhengHei" w:cs="Microsoft JhengHei"/>
          <w:spacing w:val="-2"/>
          <w:position w:val="-2"/>
          <w:sz w:val="19"/>
          <w:szCs w:val="19"/>
        </w:rPr>
        <w:t>１</w:t>
      </w:r>
      <w:r>
        <w:rPr>
          <w:rFonts w:ascii="Microsoft JhengHei" w:hAnsi="Microsoft JhengHei" w:eastAsia="Microsoft JhengHei" w:cs="Microsoft JhengHei"/>
          <w:spacing w:val="3"/>
          <w:w w:val="101"/>
          <w:position w:val="-2"/>
          <w:sz w:val="19"/>
          <w:szCs w:val="19"/>
        </w:rPr>
        <w:t xml:space="preserve">     </w:t>
      </w:r>
      <w:r>
        <w:rPr>
          <w:rFonts w:ascii="Microsoft JhengHei" w:hAnsi="Microsoft JhengHei" w:eastAsia="Microsoft JhengHei" w:cs="Microsoft JhengHei"/>
          <w:spacing w:val="-2"/>
          <w:sz w:val="19"/>
          <w:szCs w:val="19"/>
        </w:rPr>
        <w:t>烧结镁砂理化指标</w:t>
      </w:r>
    </w:p>
    <w:p>
      <w:pPr>
        <w:spacing w:line="17" w:lineRule="auto"/>
        <w:rPr>
          <w:rFonts w:ascii="Arial"/>
          <w:sz w:val="2"/>
        </w:rPr>
      </w:pPr>
    </w:p>
    <w:tbl>
      <w:tblPr>
        <w:tblStyle w:val="113"/>
        <w:tblW w:w="9205" w:type="dxa"/>
        <w:tblInd w:w="10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8"/>
        <w:gridCol w:w="1081"/>
        <w:gridCol w:w="1081"/>
        <w:gridCol w:w="1081"/>
        <w:gridCol w:w="1081"/>
        <w:gridCol w:w="1847"/>
        <w:gridCol w:w="18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3" w:hRule="atLeast"/>
        </w:trPr>
        <w:tc>
          <w:tcPr>
            <w:tcW w:w="1178" w:type="dxa"/>
            <w:vMerge w:val="restart"/>
            <w:tcBorders>
              <w:top w:val="single" w:color="000000" w:sz="6" w:space="0"/>
              <w:left w:val="single" w:color="000000" w:sz="6" w:space="0"/>
              <w:bottom w:val="nil"/>
            </w:tcBorders>
            <w:vAlign w:val="top"/>
          </w:tcPr>
          <w:p>
            <w:pPr>
              <w:spacing w:line="346" w:lineRule="auto"/>
              <w:rPr>
                <w:rFonts w:ascii="Arial"/>
                <w:sz w:val="21"/>
              </w:rPr>
            </w:pPr>
          </w:p>
          <w:p>
            <w:pPr>
              <w:spacing w:before="69" w:line="180" w:lineRule="auto"/>
              <w:ind w:firstLine="409"/>
              <w:rPr>
                <w:rFonts w:ascii="Microsoft JhengHei" w:hAnsi="Microsoft JhengHei" w:eastAsia="Microsoft JhengHei" w:cs="Microsoft JhengHei"/>
                <w:sz w:val="16"/>
                <w:szCs w:val="16"/>
              </w:rPr>
            </w:pPr>
            <w:r>
              <w:rPr>
                <w:rFonts w:ascii="Microsoft JhengHei" w:hAnsi="Microsoft JhengHei" w:eastAsia="Microsoft JhengHei" w:cs="Microsoft JhengHei"/>
                <w:spacing w:val="10"/>
                <w:sz w:val="16"/>
                <w:szCs w:val="16"/>
              </w:rPr>
              <w:t>牌号</w:t>
            </w:r>
          </w:p>
        </w:tc>
        <w:tc>
          <w:tcPr>
            <w:tcW w:w="8027" w:type="dxa"/>
            <w:gridSpan w:val="6"/>
            <w:tcBorders>
              <w:top w:val="single" w:color="000000" w:sz="6" w:space="0"/>
              <w:right w:val="single" w:color="000000" w:sz="6" w:space="0"/>
            </w:tcBorders>
            <w:vAlign w:val="top"/>
          </w:tcPr>
          <w:p>
            <w:pPr>
              <w:spacing w:before="101" w:line="180" w:lineRule="auto"/>
              <w:ind w:firstLine="3659"/>
              <w:rPr>
                <w:rFonts w:ascii="Microsoft JhengHei" w:hAnsi="Microsoft JhengHei" w:eastAsia="Microsoft JhengHei" w:cs="Microsoft JhengHei"/>
                <w:sz w:val="16"/>
                <w:szCs w:val="16"/>
              </w:rPr>
            </w:pPr>
            <w:r>
              <w:rPr>
                <w:rFonts w:ascii="Microsoft JhengHei" w:hAnsi="Microsoft JhengHei" w:eastAsia="Microsoft JhengHei" w:cs="Microsoft JhengHei"/>
                <w:spacing w:val="1"/>
                <w:sz w:val="16"/>
                <w:szCs w:val="16"/>
              </w:rPr>
              <w:t>指</w:t>
            </w:r>
            <w:r>
              <w:rPr>
                <w:rFonts w:ascii="Microsoft JhengHei" w:hAnsi="Microsoft JhengHei" w:eastAsia="Microsoft JhengHei" w:cs="Microsoft JhengHei"/>
                <w:spacing w:val="2"/>
                <w:sz w:val="16"/>
                <w:szCs w:val="16"/>
              </w:rPr>
              <w:t xml:space="preserve">         </w:t>
            </w:r>
            <w:r>
              <w:rPr>
                <w:rFonts w:ascii="Microsoft JhengHei" w:hAnsi="Microsoft JhengHei" w:eastAsia="Microsoft JhengHei" w:cs="Microsoft JhengHei"/>
                <w:spacing w:val="1"/>
                <w:sz w:val="16"/>
                <w:szCs w:val="16"/>
              </w:rPr>
              <w:t>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1178" w:type="dxa"/>
            <w:vMerge w:val="continue"/>
            <w:tcBorders>
              <w:top w:val="nil"/>
              <w:left w:val="single" w:color="000000" w:sz="6" w:space="0"/>
              <w:bottom w:val="single" w:color="000000" w:sz="6" w:space="0"/>
            </w:tcBorders>
            <w:vAlign w:val="top"/>
          </w:tcPr>
          <w:p>
            <w:pPr>
              <w:rPr>
                <w:rFonts w:ascii="Arial"/>
                <w:sz w:val="21"/>
              </w:rPr>
            </w:pPr>
          </w:p>
        </w:tc>
        <w:tc>
          <w:tcPr>
            <w:tcW w:w="1081" w:type="dxa"/>
            <w:tcBorders>
              <w:bottom w:val="single" w:color="000000" w:sz="6" w:space="0"/>
            </w:tcBorders>
            <w:vAlign w:val="top"/>
          </w:tcPr>
          <w:p>
            <w:pPr>
              <w:spacing w:before="84" w:line="338" w:lineRule="exact"/>
              <w:ind w:firstLine="219"/>
              <w:rPr>
                <w:rFonts w:ascii="Microsoft JhengHei" w:hAnsi="Microsoft JhengHei" w:eastAsia="Microsoft JhengHei" w:cs="Microsoft JhengHei"/>
                <w:sz w:val="16"/>
                <w:szCs w:val="16"/>
              </w:rPr>
            </w:pPr>
            <w:r>
              <w:rPr>
                <w:rFonts w:ascii="Microsoft JhengHei" w:hAnsi="Microsoft JhengHei" w:eastAsia="Microsoft JhengHei" w:cs="Microsoft JhengHei"/>
                <w:spacing w:val="-37"/>
                <w:position w:val="10"/>
                <w:sz w:val="16"/>
                <w:szCs w:val="16"/>
              </w:rPr>
              <w:t>ＭｇＯ／％</w:t>
            </w:r>
          </w:p>
          <w:p>
            <w:pPr>
              <w:spacing w:line="206" w:lineRule="auto"/>
              <w:ind w:firstLine="456"/>
              <w:rPr>
                <w:rFonts w:ascii="Arial" w:hAnsi="Arial" w:eastAsia="Arial" w:cs="Arial"/>
                <w:sz w:val="16"/>
                <w:szCs w:val="16"/>
              </w:rPr>
            </w:pPr>
            <w:r>
              <w:rPr>
                <w:rFonts w:ascii="Arial" w:hAnsi="Arial" w:eastAsia="Arial" w:cs="Arial"/>
                <w:spacing w:val="24"/>
                <w:w w:val="152"/>
                <w:sz w:val="16"/>
                <w:szCs w:val="16"/>
              </w:rPr>
              <w:t>≥</w:t>
            </w:r>
          </w:p>
        </w:tc>
        <w:tc>
          <w:tcPr>
            <w:tcW w:w="1081" w:type="dxa"/>
            <w:tcBorders>
              <w:bottom w:val="single" w:color="000000" w:sz="6" w:space="0"/>
            </w:tcBorders>
            <w:vAlign w:val="top"/>
          </w:tcPr>
          <w:p>
            <w:pPr>
              <w:spacing w:before="82" w:line="344" w:lineRule="exact"/>
              <w:ind w:firstLine="237"/>
              <w:rPr>
                <w:rFonts w:ascii="Microsoft JhengHei" w:hAnsi="Microsoft JhengHei" w:eastAsia="Microsoft JhengHei" w:cs="Microsoft JhengHei"/>
                <w:sz w:val="16"/>
                <w:szCs w:val="16"/>
              </w:rPr>
            </w:pPr>
            <w:r>
              <w:rPr>
                <w:rFonts w:ascii="Microsoft JhengHei" w:hAnsi="Microsoft JhengHei" w:eastAsia="Microsoft JhengHei" w:cs="Microsoft JhengHei"/>
                <w:spacing w:val="-36"/>
                <w:w w:val="90"/>
                <w:position w:val="11"/>
                <w:sz w:val="16"/>
                <w:szCs w:val="16"/>
              </w:rPr>
              <w:t>ＳｉＯ</w:t>
            </w:r>
            <w:r>
              <w:rPr>
                <w:rFonts w:ascii="Microsoft JhengHei" w:hAnsi="Microsoft JhengHei" w:eastAsia="Microsoft JhengHei" w:cs="Microsoft JhengHei"/>
                <w:spacing w:val="-36"/>
                <w:w w:val="90"/>
                <w:position w:val="10"/>
                <w:sz w:val="9"/>
                <w:szCs w:val="9"/>
              </w:rPr>
              <w:t>２</w:t>
            </w:r>
            <w:r>
              <w:rPr>
                <w:rFonts w:ascii="Microsoft JhengHei" w:hAnsi="Microsoft JhengHei" w:eastAsia="Microsoft JhengHei" w:cs="Microsoft JhengHei"/>
                <w:spacing w:val="-36"/>
                <w:w w:val="90"/>
                <w:position w:val="11"/>
                <w:sz w:val="16"/>
                <w:szCs w:val="16"/>
              </w:rPr>
              <w:t>／％</w:t>
            </w:r>
          </w:p>
          <w:p>
            <w:pPr>
              <w:spacing w:line="206" w:lineRule="auto"/>
              <w:ind w:firstLine="453"/>
              <w:rPr>
                <w:rFonts w:ascii="Arial" w:hAnsi="Arial" w:eastAsia="Arial" w:cs="Arial"/>
                <w:sz w:val="16"/>
                <w:szCs w:val="16"/>
              </w:rPr>
            </w:pPr>
            <w:r>
              <w:rPr>
                <w:rFonts w:ascii="Arial" w:hAnsi="Arial" w:eastAsia="Arial" w:cs="Arial"/>
                <w:spacing w:val="24"/>
                <w:w w:val="158"/>
                <w:sz w:val="16"/>
                <w:szCs w:val="16"/>
              </w:rPr>
              <w:t>≤</w:t>
            </w:r>
          </w:p>
        </w:tc>
        <w:tc>
          <w:tcPr>
            <w:tcW w:w="1081" w:type="dxa"/>
            <w:tcBorders>
              <w:bottom w:val="single" w:color="000000" w:sz="6" w:space="0"/>
            </w:tcBorders>
            <w:vAlign w:val="top"/>
          </w:tcPr>
          <w:p>
            <w:pPr>
              <w:spacing w:before="84" w:line="338" w:lineRule="exact"/>
              <w:ind w:firstLine="251"/>
              <w:rPr>
                <w:rFonts w:ascii="Microsoft JhengHei" w:hAnsi="Microsoft JhengHei" w:eastAsia="Microsoft JhengHei" w:cs="Microsoft JhengHei"/>
                <w:sz w:val="16"/>
                <w:szCs w:val="16"/>
              </w:rPr>
            </w:pPr>
            <w:r>
              <w:rPr>
                <w:rFonts w:ascii="Microsoft JhengHei" w:hAnsi="Microsoft JhengHei" w:eastAsia="Microsoft JhengHei" w:cs="Microsoft JhengHei"/>
                <w:spacing w:val="-48"/>
                <w:position w:val="10"/>
                <w:sz w:val="16"/>
                <w:szCs w:val="16"/>
              </w:rPr>
              <w:t>ＣａＯ／％</w:t>
            </w:r>
          </w:p>
          <w:p>
            <w:pPr>
              <w:spacing w:line="206" w:lineRule="auto"/>
              <w:ind w:firstLine="455"/>
              <w:rPr>
                <w:rFonts w:ascii="Arial" w:hAnsi="Arial" w:eastAsia="Arial" w:cs="Arial"/>
                <w:sz w:val="16"/>
                <w:szCs w:val="16"/>
              </w:rPr>
            </w:pPr>
            <w:r>
              <w:rPr>
                <w:rFonts w:ascii="Arial" w:hAnsi="Arial" w:eastAsia="Arial" w:cs="Arial"/>
                <w:spacing w:val="24"/>
                <w:w w:val="158"/>
                <w:sz w:val="16"/>
                <w:szCs w:val="16"/>
              </w:rPr>
              <w:t>≤</w:t>
            </w:r>
          </w:p>
        </w:tc>
        <w:tc>
          <w:tcPr>
            <w:tcW w:w="1081" w:type="dxa"/>
            <w:tcBorders>
              <w:bottom w:val="single" w:color="000000" w:sz="6" w:space="0"/>
            </w:tcBorders>
            <w:vAlign w:val="top"/>
          </w:tcPr>
          <w:p>
            <w:pPr>
              <w:spacing w:before="83" w:line="259" w:lineRule="auto"/>
              <w:ind w:left="457" w:right="63" w:hanging="403"/>
              <w:rPr>
                <w:rFonts w:ascii="Arial" w:hAnsi="Arial" w:eastAsia="Arial" w:cs="Arial"/>
                <w:sz w:val="16"/>
                <w:szCs w:val="16"/>
              </w:rPr>
            </w:pPr>
            <w:r>
              <w:rPr>
                <w:rFonts w:ascii="Microsoft JhengHei" w:hAnsi="Microsoft JhengHei" w:eastAsia="Microsoft JhengHei" w:cs="Microsoft JhengHei"/>
                <w:spacing w:val="15"/>
                <w:sz w:val="16"/>
                <w:szCs w:val="16"/>
              </w:rPr>
              <w:t>灼烧减量</w:t>
            </w:r>
            <w:r>
              <w:rPr>
                <w:rFonts w:ascii="Microsoft JhengHei" w:hAnsi="Microsoft JhengHei" w:eastAsia="Microsoft JhengHei" w:cs="Microsoft JhengHei"/>
                <w:spacing w:val="-31"/>
                <w:sz w:val="16"/>
                <w:szCs w:val="16"/>
              </w:rPr>
              <w:t>／％</w:t>
            </w:r>
            <w:r>
              <w:rPr>
                <w:rFonts w:ascii="Microsoft JhengHei" w:hAnsi="Microsoft JhengHei" w:eastAsia="Microsoft JhengHei" w:cs="Microsoft JhengHei"/>
                <w:sz w:val="16"/>
                <w:szCs w:val="16"/>
              </w:rPr>
              <w:t xml:space="preserve"> </w:t>
            </w:r>
            <w:r>
              <w:rPr>
                <w:rFonts w:ascii="Arial" w:hAnsi="Arial" w:eastAsia="Arial" w:cs="Arial"/>
                <w:spacing w:val="24"/>
                <w:w w:val="158"/>
                <w:sz w:val="16"/>
                <w:szCs w:val="16"/>
              </w:rPr>
              <w:t>≤</w:t>
            </w:r>
          </w:p>
        </w:tc>
        <w:tc>
          <w:tcPr>
            <w:tcW w:w="1847" w:type="dxa"/>
            <w:tcBorders>
              <w:bottom w:val="single" w:color="000000" w:sz="6" w:space="0"/>
            </w:tcBorders>
            <w:vAlign w:val="top"/>
          </w:tcPr>
          <w:p>
            <w:pPr>
              <w:spacing w:before="83" w:line="256" w:lineRule="auto"/>
              <w:ind w:left="848" w:right="122" w:hanging="655"/>
              <w:rPr>
                <w:rFonts w:ascii="Arial" w:hAnsi="Arial" w:eastAsia="Arial" w:cs="Arial"/>
                <w:sz w:val="16"/>
                <w:szCs w:val="16"/>
              </w:rPr>
            </w:pPr>
            <w:r>
              <w:rPr>
                <w:rFonts w:ascii="Microsoft JhengHei" w:hAnsi="Microsoft JhengHei" w:eastAsia="Microsoft JhengHei" w:cs="Microsoft JhengHei"/>
                <w:spacing w:val="-33"/>
                <w:w w:val="81"/>
                <w:sz w:val="16"/>
                <w:szCs w:val="16"/>
              </w:rPr>
              <w:t>ＣａＯ／ＳｉＯ</w:t>
            </w:r>
            <w:r>
              <w:rPr>
                <w:rFonts w:ascii="Microsoft JhengHei" w:hAnsi="Microsoft JhengHei" w:eastAsia="Microsoft JhengHei" w:cs="Microsoft JhengHei"/>
                <w:spacing w:val="-33"/>
                <w:w w:val="81"/>
                <w:position w:val="-2"/>
                <w:sz w:val="9"/>
                <w:szCs w:val="9"/>
              </w:rPr>
              <w:t>２</w:t>
            </w:r>
            <w:r>
              <w:rPr>
                <w:rFonts w:ascii="Microsoft JhengHei" w:hAnsi="Microsoft JhengHei" w:eastAsia="Microsoft JhengHei" w:cs="Microsoft JhengHei"/>
                <w:spacing w:val="-33"/>
                <w:w w:val="81"/>
                <w:position w:val="1"/>
                <w:sz w:val="16"/>
                <w:szCs w:val="16"/>
              </w:rPr>
              <w:t>（</w:t>
            </w:r>
            <w:r>
              <w:rPr>
                <w:rFonts w:ascii="Microsoft JhengHei" w:hAnsi="Microsoft JhengHei" w:eastAsia="Microsoft JhengHei" w:cs="Microsoft JhengHei"/>
                <w:spacing w:val="15"/>
                <w:position w:val="1"/>
                <w:sz w:val="16"/>
                <w:szCs w:val="16"/>
              </w:rPr>
              <w:t>质量比）</w:t>
            </w:r>
            <w:r>
              <w:rPr>
                <w:rFonts w:ascii="Microsoft JhengHei" w:hAnsi="Microsoft JhengHei" w:eastAsia="Microsoft JhengHei" w:cs="Microsoft JhengHei"/>
                <w:spacing w:val="13"/>
                <w:position w:val="1"/>
                <w:sz w:val="16"/>
                <w:szCs w:val="16"/>
              </w:rPr>
              <w:t xml:space="preserve"> </w:t>
            </w:r>
            <w:r>
              <w:rPr>
                <w:rFonts w:ascii="Arial" w:hAnsi="Arial" w:eastAsia="Arial" w:cs="Arial"/>
                <w:spacing w:val="24"/>
                <w:w w:val="152"/>
                <w:sz w:val="16"/>
                <w:szCs w:val="16"/>
              </w:rPr>
              <w:t>≥</w:t>
            </w:r>
          </w:p>
        </w:tc>
        <w:tc>
          <w:tcPr>
            <w:tcW w:w="1856" w:type="dxa"/>
            <w:tcBorders>
              <w:bottom w:val="single" w:color="000000" w:sz="6" w:space="0"/>
              <w:right w:val="single" w:color="000000" w:sz="6" w:space="0"/>
            </w:tcBorders>
            <w:vAlign w:val="top"/>
          </w:tcPr>
          <w:p>
            <w:pPr>
              <w:spacing w:before="83" w:line="261" w:lineRule="auto"/>
              <w:ind w:left="829" w:hanging="802"/>
              <w:rPr>
                <w:rFonts w:ascii="Arial" w:hAnsi="Arial" w:eastAsia="Arial" w:cs="Arial"/>
                <w:sz w:val="16"/>
                <w:szCs w:val="16"/>
              </w:rPr>
            </w:pPr>
            <w:r>
              <w:rPr>
                <w:rFonts w:ascii="Microsoft JhengHei" w:hAnsi="Microsoft JhengHei" w:eastAsia="Microsoft JhengHei" w:cs="Microsoft JhengHei"/>
                <w:spacing w:val="12"/>
                <w:sz w:val="16"/>
                <w:szCs w:val="16"/>
              </w:rPr>
              <w:t>颗粒体积密度</w:t>
            </w:r>
            <w:r>
              <w:rPr>
                <w:rFonts w:ascii="Microsoft JhengHei" w:hAnsi="Microsoft JhengHei" w:eastAsia="Microsoft JhengHei" w:cs="Microsoft JhengHei"/>
                <w:spacing w:val="-35"/>
                <w:w w:val="87"/>
                <w:sz w:val="16"/>
                <w:szCs w:val="16"/>
              </w:rPr>
              <w:t>／（ｇ／ｃｍ</w:t>
            </w:r>
            <w:r>
              <w:rPr>
                <w:rFonts w:ascii="Microsoft JhengHei" w:hAnsi="Microsoft JhengHei" w:eastAsia="Microsoft JhengHei" w:cs="Microsoft JhengHei"/>
                <w:spacing w:val="-35"/>
                <w:w w:val="87"/>
                <w:position w:val="5"/>
                <w:sz w:val="9"/>
                <w:szCs w:val="9"/>
              </w:rPr>
              <w:t>３</w:t>
            </w:r>
            <w:r>
              <w:rPr>
                <w:rFonts w:ascii="Microsoft JhengHei" w:hAnsi="Microsoft JhengHei" w:eastAsia="Microsoft JhengHei" w:cs="Microsoft JhengHei"/>
                <w:spacing w:val="-9"/>
                <w:position w:val="5"/>
                <w:sz w:val="9"/>
                <w:szCs w:val="9"/>
              </w:rPr>
              <w:t xml:space="preserve"> </w:t>
            </w:r>
            <w:r>
              <w:rPr>
                <w:rFonts w:ascii="Microsoft JhengHei" w:hAnsi="Microsoft JhengHei" w:eastAsia="Microsoft JhengHei" w:cs="Microsoft JhengHei"/>
                <w:spacing w:val="-35"/>
                <w:w w:val="87"/>
                <w:sz w:val="16"/>
                <w:szCs w:val="16"/>
              </w:rPr>
              <w:t>）</w:t>
            </w:r>
            <w:r>
              <w:rPr>
                <w:rFonts w:ascii="Microsoft JhengHei" w:hAnsi="Microsoft JhengHei" w:eastAsia="Microsoft JhengHei" w:cs="Microsoft JhengHei"/>
                <w:sz w:val="16"/>
                <w:szCs w:val="16"/>
              </w:rPr>
              <w:t xml:space="preserve"> </w:t>
            </w:r>
            <w:r>
              <w:rPr>
                <w:rFonts w:ascii="Arial" w:hAnsi="Arial" w:eastAsia="Arial" w:cs="Arial"/>
                <w:spacing w:val="22"/>
                <w:w w:val="150"/>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178" w:type="dxa"/>
            <w:tcBorders>
              <w:top w:val="single" w:color="000000" w:sz="6" w:space="0"/>
              <w:left w:val="single" w:color="000000" w:sz="6" w:space="0"/>
            </w:tcBorders>
            <w:vAlign w:val="top"/>
          </w:tcPr>
          <w:p>
            <w:pPr>
              <w:spacing w:before="95" w:line="180" w:lineRule="auto"/>
              <w:ind w:firstLine="305"/>
              <w:rPr>
                <w:rFonts w:ascii="Microsoft JhengHei" w:hAnsi="Microsoft JhengHei" w:eastAsia="Microsoft JhengHei" w:cs="Microsoft JhengHei"/>
                <w:sz w:val="16"/>
                <w:szCs w:val="16"/>
              </w:rPr>
            </w:pPr>
            <w:r>
              <w:rPr>
                <w:rFonts w:ascii="Microsoft JhengHei" w:hAnsi="Microsoft JhengHei" w:eastAsia="Microsoft JhengHei" w:cs="Microsoft JhengHei"/>
                <w:spacing w:val="-46"/>
                <w:sz w:val="16"/>
                <w:szCs w:val="16"/>
              </w:rPr>
              <w:t>ＭＳ９８Ａ</w:t>
            </w:r>
          </w:p>
        </w:tc>
        <w:tc>
          <w:tcPr>
            <w:tcW w:w="1081" w:type="dxa"/>
            <w:tcBorders>
              <w:top w:val="single" w:color="000000" w:sz="6" w:space="0"/>
            </w:tcBorders>
            <w:vAlign w:val="top"/>
          </w:tcPr>
          <w:p>
            <w:pPr>
              <w:spacing w:before="103" w:line="180" w:lineRule="auto"/>
              <w:ind w:firstLine="370"/>
              <w:rPr>
                <w:rFonts w:ascii="Microsoft JhengHei" w:hAnsi="Microsoft JhengHei" w:eastAsia="Microsoft JhengHei" w:cs="Microsoft JhengHei"/>
                <w:sz w:val="16"/>
                <w:szCs w:val="16"/>
              </w:rPr>
            </w:pPr>
            <w:r>
              <w:rPr>
                <w:rFonts w:ascii="Microsoft JhengHei" w:hAnsi="Microsoft JhengHei" w:eastAsia="Microsoft JhengHei" w:cs="Microsoft JhengHei"/>
                <w:spacing w:val="-55"/>
                <w:sz w:val="16"/>
                <w:szCs w:val="16"/>
              </w:rPr>
              <w:t>９８．０</w:t>
            </w:r>
          </w:p>
        </w:tc>
        <w:tc>
          <w:tcPr>
            <w:tcW w:w="1081" w:type="dxa"/>
            <w:tcBorders>
              <w:top w:val="single" w:color="000000" w:sz="6" w:space="0"/>
            </w:tcBorders>
            <w:vAlign w:val="top"/>
          </w:tcPr>
          <w:p>
            <w:pPr>
              <w:spacing w:before="107" w:line="180" w:lineRule="auto"/>
              <w:ind w:firstLine="412"/>
              <w:rPr>
                <w:rFonts w:ascii="Microsoft JhengHei" w:hAnsi="Microsoft JhengHei" w:eastAsia="Microsoft JhengHei" w:cs="Microsoft JhengHei"/>
                <w:sz w:val="16"/>
                <w:szCs w:val="16"/>
              </w:rPr>
            </w:pPr>
            <w:r>
              <w:rPr>
                <w:rFonts w:ascii="Microsoft JhengHei" w:hAnsi="Microsoft JhengHei" w:eastAsia="Microsoft JhengHei" w:cs="Microsoft JhengHei"/>
                <w:spacing w:val="-47"/>
                <w:sz w:val="16"/>
                <w:szCs w:val="16"/>
              </w:rPr>
              <w:t>０．３</w:t>
            </w:r>
          </w:p>
        </w:tc>
        <w:tc>
          <w:tcPr>
            <w:tcW w:w="1081" w:type="dxa"/>
            <w:tcBorders>
              <w:top w:val="single" w:color="000000" w:sz="6" w:space="0"/>
            </w:tcBorders>
            <w:vAlign w:val="top"/>
          </w:tcPr>
          <w:p>
            <w:pPr>
              <w:spacing w:before="163" w:line="130" w:lineRule="exact"/>
              <w:ind w:firstLine="453"/>
              <w:rPr>
                <w:rFonts w:ascii="Microsoft JhengHei" w:hAnsi="Microsoft JhengHei" w:eastAsia="Microsoft JhengHei" w:cs="Microsoft JhengHei"/>
                <w:sz w:val="16"/>
                <w:szCs w:val="16"/>
              </w:rPr>
            </w:pPr>
            <w:r>
              <w:rPr>
                <w:rFonts w:ascii="Microsoft JhengHei" w:hAnsi="Microsoft JhengHei" w:eastAsia="Microsoft JhengHei" w:cs="Microsoft JhengHei"/>
                <w:position w:val="1"/>
                <w:sz w:val="16"/>
                <w:szCs w:val="16"/>
              </w:rPr>
              <w:t>—</w:t>
            </w:r>
          </w:p>
        </w:tc>
        <w:tc>
          <w:tcPr>
            <w:tcW w:w="1081" w:type="dxa"/>
            <w:tcBorders>
              <w:top w:val="single" w:color="000000" w:sz="6" w:space="0"/>
            </w:tcBorders>
            <w:vAlign w:val="top"/>
          </w:tcPr>
          <w:p>
            <w:pPr>
              <w:spacing w:before="107" w:line="180" w:lineRule="auto"/>
              <w:ind w:firstLine="371"/>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０．３０</w:t>
            </w:r>
          </w:p>
        </w:tc>
        <w:tc>
          <w:tcPr>
            <w:tcW w:w="1847" w:type="dxa"/>
            <w:tcBorders>
              <w:top w:val="single" w:color="000000" w:sz="6" w:space="0"/>
            </w:tcBorders>
            <w:vAlign w:val="top"/>
          </w:tcPr>
          <w:p>
            <w:pPr>
              <w:spacing w:before="107" w:line="180" w:lineRule="auto"/>
              <w:ind w:firstLine="892"/>
              <w:rPr>
                <w:rFonts w:ascii="Microsoft JhengHei" w:hAnsi="Microsoft JhengHei" w:eastAsia="Microsoft JhengHei" w:cs="Microsoft JhengHei"/>
                <w:sz w:val="16"/>
                <w:szCs w:val="16"/>
              </w:rPr>
            </w:pPr>
            <w:r>
              <w:rPr>
                <w:rFonts w:ascii="Microsoft JhengHei" w:hAnsi="Microsoft JhengHei" w:eastAsia="Microsoft JhengHei" w:cs="Microsoft JhengHei"/>
                <w:sz w:val="16"/>
                <w:szCs w:val="16"/>
              </w:rPr>
              <w:t>３</w:t>
            </w:r>
          </w:p>
        </w:tc>
        <w:tc>
          <w:tcPr>
            <w:tcW w:w="1856" w:type="dxa"/>
            <w:tcBorders>
              <w:top w:val="single" w:color="000000" w:sz="6" w:space="0"/>
              <w:right w:val="single" w:color="000000" w:sz="6" w:space="0"/>
            </w:tcBorders>
            <w:vAlign w:val="top"/>
          </w:tcPr>
          <w:p>
            <w:pPr>
              <w:spacing w:before="105" w:line="180" w:lineRule="auto"/>
              <w:ind w:firstLine="763"/>
              <w:rPr>
                <w:rFonts w:ascii="Microsoft JhengHei" w:hAnsi="Microsoft JhengHei" w:eastAsia="Microsoft JhengHei" w:cs="Microsoft JhengHei"/>
                <w:sz w:val="16"/>
                <w:szCs w:val="16"/>
              </w:rPr>
            </w:pPr>
            <w:r>
              <w:rPr>
                <w:rFonts w:ascii="Microsoft JhengHei" w:hAnsi="Microsoft JhengHei" w:eastAsia="Microsoft JhengHei" w:cs="Microsoft JhengHei"/>
                <w:spacing w:val="-59"/>
                <w:sz w:val="16"/>
                <w:szCs w:val="16"/>
              </w:rPr>
              <w:t>３．４０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5" w:hRule="atLeast"/>
        </w:trPr>
        <w:tc>
          <w:tcPr>
            <w:tcW w:w="1178" w:type="dxa"/>
            <w:tcBorders>
              <w:left w:val="single" w:color="000000" w:sz="6" w:space="0"/>
            </w:tcBorders>
            <w:vAlign w:val="top"/>
          </w:tcPr>
          <w:p>
            <w:pPr>
              <w:spacing w:before="111" w:line="180" w:lineRule="auto"/>
              <w:ind w:firstLine="319"/>
              <w:rPr>
                <w:rFonts w:ascii="Microsoft JhengHei" w:hAnsi="Microsoft JhengHei" w:eastAsia="Microsoft JhengHei" w:cs="Microsoft JhengHei"/>
                <w:sz w:val="16"/>
                <w:szCs w:val="16"/>
              </w:rPr>
            </w:pPr>
            <w:r>
              <w:rPr>
                <w:rFonts w:ascii="Microsoft JhengHei" w:hAnsi="Microsoft JhengHei" w:eastAsia="Microsoft JhengHei" w:cs="Microsoft JhengHei"/>
                <w:spacing w:val="-46"/>
                <w:sz w:val="16"/>
                <w:szCs w:val="16"/>
              </w:rPr>
              <w:t>ＭＳ９８Ｂ</w:t>
            </w:r>
          </w:p>
        </w:tc>
        <w:tc>
          <w:tcPr>
            <w:tcW w:w="1081" w:type="dxa"/>
            <w:vAlign w:val="top"/>
          </w:tcPr>
          <w:p>
            <w:pPr>
              <w:spacing w:before="116" w:line="180" w:lineRule="auto"/>
              <w:ind w:firstLine="370"/>
              <w:rPr>
                <w:rFonts w:ascii="Microsoft JhengHei" w:hAnsi="Microsoft JhengHei" w:eastAsia="Microsoft JhengHei" w:cs="Microsoft JhengHei"/>
                <w:sz w:val="16"/>
                <w:szCs w:val="16"/>
              </w:rPr>
            </w:pPr>
            <w:r>
              <w:rPr>
                <w:rFonts w:ascii="Microsoft JhengHei" w:hAnsi="Microsoft JhengHei" w:eastAsia="Microsoft JhengHei" w:cs="Microsoft JhengHei"/>
                <w:spacing w:val="-54"/>
                <w:sz w:val="16"/>
                <w:szCs w:val="16"/>
              </w:rPr>
              <w:t>９７．７</w:t>
            </w:r>
          </w:p>
        </w:tc>
        <w:tc>
          <w:tcPr>
            <w:tcW w:w="1081" w:type="dxa"/>
            <w:vAlign w:val="top"/>
          </w:tcPr>
          <w:p>
            <w:pPr>
              <w:spacing w:before="116" w:line="180" w:lineRule="auto"/>
              <w:ind w:firstLine="412"/>
              <w:rPr>
                <w:rFonts w:ascii="Microsoft JhengHei" w:hAnsi="Microsoft JhengHei" w:eastAsia="Microsoft JhengHei" w:cs="Microsoft JhengHei"/>
                <w:sz w:val="16"/>
                <w:szCs w:val="16"/>
              </w:rPr>
            </w:pPr>
            <w:r>
              <w:rPr>
                <w:rFonts w:ascii="Microsoft JhengHei" w:hAnsi="Microsoft JhengHei" w:eastAsia="Microsoft JhengHei" w:cs="Microsoft JhengHei"/>
                <w:spacing w:val="-48"/>
                <w:sz w:val="16"/>
                <w:szCs w:val="16"/>
              </w:rPr>
              <w:t>０．４</w:t>
            </w:r>
          </w:p>
        </w:tc>
        <w:tc>
          <w:tcPr>
            <w:tcW w:w="1081" w:type="dxa"/>
            <w:vAlign w:val="top"/>
          </w:tcPr>
          <w:p>
            <w:pPr>
              <w:spacing w:before="174" w:line="130" w:lineRule="exact"/>
              <w:ind w:firstLine="453"/>
              <w:rPr>
                <w:rFonts w:ascii="Microsoft JhengHei" w:hAnsi="Microsoft JhengHei" w:eastAsia="Microsoft JhengHei" w:cs="Microsoft JhengHei"/>
                <w:sz w:val="16"/>
                <w:szCs w:val="16"/>
              </w:rPr>
            </w:pPr>
            <w:r>
              <w:rPr>
                <w:rFonts w:ascii="Microsoft JhengHei" w:hAnsi="Microsoft JhengHei" w:eastAsia="Microsoft JhengHei" w:cs="Microsoft JhengHei"/>
                <w:position w:val="1"/>
                <w:sz w:val="16"/>
                <w:szCs w:val="16"/>
              </w:rPr>
              <w:t>—</w:t>
            </w:r>
          </w:p>
        </w:tc>
        <w:tc>
          <w:tcPr>
            <w:tcW w:w="1081" w:type="dxa"/>
            <w:vAlign w:val="top"/>
          </w:tcPr>
          <w:p>
            <w:pPr>
              <w:spacing w:before="118" w:line="180" w:lineRule="auto"/>
              <w:ind w:firstLine="371"/>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０．３０</w:t>
            </w:r>
          </w:p>
        </w:tc>
        <w:tc>
          <w:tcPr>
            <w:tcW w:w="1847" w:type="dxa"/>
            <w:vAlign w:val="top"/>
          </w:tcPr>
          <w:p>
            <w:pPr>
              <w:spacing w:before="114" w:line="180" w:lineRule="auto"/>
              <w:ind w:firstLine="891"/>
              <w:rPr>
                <w:rFonts w:ascii="Microsoft JhengHei" w:hAnsi="Microsoft JhengHei" w:eastAsia="Microsoft JhengHei" w:cs="Microsoft JhengHei"/>
                <w:sz w:val="16"/>
                <w:szCs w:val="16"/>
              </w:rPr>
            </w:pPr>
            <w:r>
              <w:rPr>
                <w:rFonts w:ascii="Microsoft JhengHei" w:hAnsi="Microsoft JhengHei" w:eastAsia="Microsoft JhengHei" w:cs="Microsoft JhengHei"/>
                <w:sz w:val="16"/>
                <w:szCs w:val="16"/>
              </w:rPr>
              <w:t>２</w:t>
            </w:r>
          </w:p>
        </w:tc>
        <w:tc>
          <w:tcPr>
            <w:tcW w:w="1856" w:type="dxa"/>
            <w:tcBorders>
              <w:right w:val="single" w:color="000000" w:sz="6" w:space="0"/>
            </w:tcBorders>
            <w:vAlign w:val="top"/>
          </w:tcPr>
          <w:p>
            <w:pPr>
              <w:spacing w:before="116" w:line="180" w:lineRule="auto"/>
              <w:ind w:firstLine="763"/>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３．３５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5" w:hRule="atLeast"/>
        </w:trPr>
        <w:tc>
          <w:tcPr>
            <w:tcW w:w="1178" w:type="dxa"/>
            <w:tcBorders>
              <w:left w:val="single" w:color="000000" w:sz="6" w:space="0"/>
            </w:tcBorders>
            <w:vAlign w:val="top"/>
          </w:tcPr>
          <w:p>
            <w:pPr>
              <w:spacing w:before="110" w:line="180" w:lineRule="auto"/>
              <w:ind w:firstLine="315"/>
              <w:rPr>
                <w:rFonts w:ascii="Microsoft JhengHei" w:hAnsi="Microsoft JhengHei" w:eastAsia="Microsoft JhengHei" w:cs="Microsoft JhengHei"/>
                <w:sz w:val="16"/>
                <w:szCs w:val="16"/>
              </w:rPr>
            </w:pPr>
            <w:r>
              <w:rPr>
                <w:rFonts w:ascii="Microsoft JhengHei" w:hAnsi="Microsoft JhengHei" w:eastAsia="Microsoft JhengHei" w:cs="Microsoft JhengHei"/>
                <w:spacing w:val="-46"/>
                <w:sz w:val="16"/>
                <w:szCs w:val="16"/>
              </w:rPr>
              <w:t>ＭＳ９８Ｃ</w:t>
            </w:r>
          </w:p>
        </w:tc>
        <w:tc>
          <w:tcPr>
            <w:tcW w:w="1081" w:type="dxa"/>
            <w:vAlign w:val="top"/>
          </w:tcPr>
          <w:p>
            <w:pPr>
              <w:spacing w:before="116" w:line="180" w:lineRule="auto"/>
              <w:ind w:firstLine="370"/>
              <w:rPr>
                <w:rFonts w:ascii="Microsoft JhengHei" w:hAnsi="Microsoft JhengHei" w:eastAsia="Microsoft JhengHei" w:cs="Microsoft JhengHei"/>
                <w:sz w:val="16"/>
                <w:szCs w:val="16"/>
              </w:rPr>
            </w:pPr>
            <w:r>
              <w:rPr>
                <w:rFonts w:ascii="Microsoft JhengHei" w:hAnsi="Microsoft JhengHei" w:eastAsia="Microsoft JhengHei" w:cs="Microsoft JhengHei"/>
                <w:spacing w:val="-54"/>
                <w:sz w:val="16"/>
                <w:szCs w:val="16"/>
              </w:rPr>
              <w:t>９７．５</w:t>
            </w:r>
          </w:p>
        </w:tc>
        <w:tc>
          <w:tcPr>
            <w:tcW w:w="1081" w:type="dxa"/>
            <w:vAlign w:val="top"/>
          </w:tcPr>
          <w:p>
            <w:pPr>
              <w:spacing w:before="116" w:line="180" w:lineRule="auto"/>
              <w:ind w:firstLine="412"/>
              <w:rPr>
                <w:rFonts w:ascii="Microsoft JhengHei" w:hAnsi="Microsoft JhengHei" w:eastAsia="Microsoft JhengHei" w:cs="Microsoft JhengHei"/>
                <w:sz w:val="16"/>
                <w:szCs w:val="16"/>
              </w:rPr>
            </w:pPr>
            <w:r>
              <w:rPr>
                <w:rFonts w:ascii="Microsoft JhengHei" w:hAnsi="Microsoft JhengHei" w:eastAsia="Microsoft JhengHei" w:cs="Microsoft JhengHei"/>
                <w:spacing w:val="-48"/>
                <w:sz w:val="16"/>
                <w:szCs w:val="16"/>
              </w:rPr>
              <w:t>０．４</w:t>
            </w:r>
          </w:p>
        </w:tc>
        <w:tc>
          <w:tcPr>
            <w:tcW w:w="1081" w:type="dxa"/>
            <w:vAlign w:val="top"/>
          </w:tcPr>
          <w:p>
            <w:pPr>
              <w:spacing w:before="175" w:line="130" w:lineRule="exact"/>
              <w:ind w:firstLine="453"/>
              <w:rPr>
                <w:rFonts w:ascii="Microsoft JhengHei" w:hAnsi="Microsoft JhengHei" w:eastAsia="Microsoft JhengHei" w:cs="Microsoft JhengHei"/>
                <w:sz w:val="16"/>
                <w:szCs w:val="16"/>
              </w:rPr>
            </w:pPr>
            <w:r>
              <w:rPr>
                <w:rFonts w:ascii="Microsoft JhengHei" w:hAnsi="Microsoft JhengHei" w:eastAsia="Microsoft JhengHei" w:cs="Microsoft JhengHei"/>
                <w:position w:val="1"/>
                <w:sz w:val="16"/>
                <w:szCs w:val="16"/>
              </w:rPr>
              <w:t>—</w:t>
            </w:r>
          </w:p>
        </w:tc>
        <w:tc>
          <w:tcPr>
            <w:tcW w:w="1081" w:type="dxa"/>
            <w:vAlign w:val="top"/>
          </w:tcPr>
          <w:p>
            <w:pPr>
              <w:spacing w:before="119" w:line="180" w:lineRule="auto"/>
              <w:ind w:firstLine="371"/>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０．３０</w:t>
            </w:r>
          </w:p>
        </w:tc>
        <w:tc>
          <w:tcPr>
            <w:tcW w:w="1847" w:type="dxa"/>
            <w:vAlign w:val="top"/>
          </w:tcPr>
          <w:p>
            <w:pPr>
              <w:spacing w:before="115" w:line="180" w:lineRule="auto"/>
              <w:ind w:firstLine="891"/>
              <w:rPr>
                <w:rFonts w:ascii="Microsoft JhengHei" w:hAnsi="Microsoft JhengHei" w:eastAsia="Microsoft JhengHei" w:cs="Microsoft JhengHei"/>
                <w:sz w:val="16"/>
                <w:szCs w:val="16"/>
              </w:rPr>
            </w:pPr>
            <w:r>
              <w:rPr>
                <w:rFonts w:ascii="Microsoft JhengHei" w:hAnsi="Microsoft JhengHei" w:eastAsia="Microsoft JhengHei" w:cs="Microsoft JhengHei"/>
                <w:sz w:val="16"/>
                <w:szCs w:val="16"/>
              </w:rPr>
              <w:t>２</w:t>
            </w:r>
          </w:p>
        </w:tc>
        <w:tc>
          <w:tcPr>
            <w:tcW w:w="1856" w:type="dxa"/>
            <w:tcBorders>
              <w:right w:val="single" w:color="000000" w:sz="6" w:space="0"/>
            </w:tcBorders>
            <w:vAlign w:val="top"/>
          </w:tcPr>
          <w:p>
            <w:pPr>
              <w:spacing w:before="119" w:line="180" w:lineRule="auto"/>
              <w:ind w:firstLine="763"/>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３．３０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5" w:hRule="atLeast"/>
        </w:trPr>
        <w:tc>
          <w:tcPr>
            <w:tcW w:w="1178" w:type="dxa"/>
            <w:tcBorders>
              <w:left w:val="single" w:color="000000" w:sz="6" w:space="0"/>
            </w:tcBorders>
            <w:vAlign w:val="top"/>
          </w:tcPr>
          <w:p>
            <w:pPr>
              <w:spacing w:before="108" w:line="180" w:lineRule="auto"/>
              <w:ind w:firstLine="305"/>
              <w:rPr>
                <w:rFonts w:ascii="Microsoft JhengHei" w:hAnsi="Microsoft JhengHei" w:eastAsia="Microsoft JhengHei" w:cs="Microsoft JhengHei"/>
                <w:sz w:val="16"/>
                <w:szCs w:val="16"/>
              </w:rPr>
            </w:pPr>
            <w:r>
              <w:rPr>
                <w:rFonts w:ascii="Microsoft JhengHei" w:hAnsi="Microsoft JhengHei" w:eastAsia="Microsoft JhengHei" w:cs="Microsoft JhengHei"/>
                <w:spacing w:val="-46"/>
                <w:sz w:val="16"/>
                <w:szCs w:val="16"/>
              </w:rPr>
              <w:t>ＭＳ９７Ａ</w:t>
            </w:r>
          </w:p>
        </w:tc>
        <w:tc>
          <w:tcPr>
            <w:tcW w:w="1081" w:type="dxa"/>
            <w:vAlign w:val="top"/>
          </w:tcPr>
          <w:p>
            <w:pPr>
              <w:spacing w:before="117" w:line="180" w:lineRule="auto"/>
              <w:ind w:firstLine="370"/>
              <w:rPr>
                <w:rFonts w:ascii="Microsoft JhengHei" w:hAnsi="Microsoft JhengHei" w:eastAsia="Microsoft JhengHei" w:cs="Microsoft JhengHei"/>
                <w:sz w:val="16"/>
                <w:szCs w:val="16"/>
              </w:rPr>
            </w:pPr>
            <w:r>
              <w:rPr>
                <w:rFonts w:ascii="Microsoft JhengHei" w:hAnsi="Microsoft JhengHei" w:eastAsia="Microsoft JhengHei" w:cs="Microsoft JhengHei"/>
                <w:spacing w:val="-55"/>
                <w:sz w:val="16"/>
                <w:szCs w:val="16"/>
              </w:rPr>
              <w:t>９７．０</w:t>
            </w:r>
          </w:p>
        </w:tc>
        <w:tc>
          <w:tcPr>
            <w:tcW w:w="1081" w:type="dxa"/>
            <w:vAlign w:val="top"/>
          </w:tcPr>
          <w:p>
            <w:pPr>
              <w:spacing w:before="117" w:line="180" w:lineRule="auto"/>
              <w:ind w:firstLine="412"/>
              <w:rPr>
                <w:rFonts w:ascii="Microsoft JhengHei" w:hAnsi="Microsoft JhengHei" w:eastAsia="Microsoft JhengHei" w:cs="Microsoft JhengHei"/>
                <w:sz w:val="16"/>
                <w:szCs w:val="16"/>
              </w:rPr>
            </w:pPr>
            <w:r>
              <w:rPr>
                <w:rFonts w:ascii="Microsoft JhengHei" w:hAnsi="Microsoft JhengHei" w:eastAsia="Microsoft JhengHei" w:cs="Microsoft JhengHei"/>
                <w:spacing w:val="-46"/>
                <w:sz w:val="16"/>
                <w:szCs w:val="16"/>
              </w:rPr>
              <w:t>０．６</w:t>
            </w:r>
          </w:p>
        </w:tc>
        <w:tc>
          <w:tcPr>
            <w:tcW w:w="1081" w:type="dxa"/>
            <w:vAlign w:val="top"/>
          </w:tcPr>
          <w:p>
            <w:pPr>
              <w:spacing w:before="176" w:line="130" w:lineRule="exact"/>
              <w:ind w:firstLine="453"/>
              <w:rPr>
                <w:rFonts w:ascii="Microsoft JhengHei" w:hAnsi="Microsoft JhengHei" w:eastAsia="Microsoft JhengHei" w:cs="Microsoft JhengHei"/>
                <w:sz w:val="16"/>
                <w:szCs w:val="16"/>
              </w:rPr>
            </w:pPr>
            <w:r>
              <w:rPr>
                <w:rFonts w:ascii="Microsoft JhengHei" w:hAnsi="Microsoft JhengHei" w:eastAsia="Microsoft JhengHei" w:cs="Microsoft JhengHei"/>
                <w:position w:val="1"/>
                <w:sz w:val="16"/>
                <w:szCs w:val="16"/>
              </w:rPr>
              <w:t>—</w:t>
            </w:r>
          </w:p>
        </w:tc>
        <w:tc>
          <w:tcPr>
            <w:tcW w:w="1081" w:type="dxa"/>
            <w:vAlign w:val="top"/>
          </w:tcPr>
          <w:p>
            <w:pPr>
              <w:spacing w:before="120" w:line="180" w:lineRule="auto"/>
              <w:ind w:firstLine="371"/>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０．３０</w:t>
            </w:r>
          </w:p>
        </w:tc>
        <w:tc>
          <w:tcPr>
            <w:tcW w:w="1847" w:type="dxa"/>
            <w:vAlign w:val="top"/>
          </w:tcPr>
          <w:p>
            <w:pPr>
              <w:spacing w:before="116" w:line="180" w:lineRule="auto"/>
              <w:ind w:firstLine="891"/>
              <w:rPr>
                <w:rFonts w:ascii="Microsoft JhengHei" w:hAnsi="Microsoft JhengHei" w:eastAsia="Microsoft JhengHei" w:cs="Microsoft JhengHei"/>
                <w:sz w:val="16"/>
                <w:szCs w:val="16"/>
              </w:rPr>
            </w:pPr>
            <w:r>
              <w:rPr>
                <w:rFonts w:ascii="Microsoft JhengHei" w:hAnsi="Microsoft JhengHei" w:eastAsia="Microsoft JhengHei" w:cs="Microsoft JhengHei"/>
                <w:sz w:val="16"/>
                <w:szCs w:val="16"/>
              </w:rPr>
              <w:t>２</w:t>
            </w:r>
          </w:p>
        </w:tc>
        <w:tc>
          <w:tcPr>
            <w:tcW w:w="1856" w:type="dxa"/>
            <w:tcBorders>
              <w:right w:val="single" w:color="000000" w:sz="6" w:space="0"/>
            </w:tcBorders>
            <w:vAlign w:val="top"/>
          </w:tcPr>
          <w:p>
            <w:pPr>
              <w:spacing w:before="120" w:line="180" w:lineRule="auto"/>
              <w:ind w:firstLine="763"/>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３．３３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5" w:hRule="atLeast"/>
        </w:trPr>
        <w:tc>
          <w:tcPr>
            <w:tcW w:w="1178" w:type="dxa"/>
            <w:tcBorders>
              <w:left w:val="single" w:color="000000" w:sz="6" w:space="0"/>
            </w:tcBorders>
            <w:vAlign w:val="top"/>
          </w:tcPr>
          <w:p>
            <w:pPr>
              <w:spacing w:before="114" w:line="180" w:lineRule="auto"/>
              <w:ind w:firstLine="319"/>
              <w:rPr>
                <w:rFonts w:ascii="Microsoft JhengHei" w:hAnsi="Microsoft JhengHei" w:eastAsia="Microsoft JhengHei" w:cs="Microsoft JhengHei"/>
                <w:sz w:val="16"/>
                <w:szCs w:val="16"/>
              </w:rPr>
            </w:pPr>
            <w:r>
              <w:rPr>
                <w:rFonts w:ascii="Microsoft JhengHei" w:hAnsi="Microsoft JhengHei" w:eastAsia="Microsoft JhengHei" w:cs="Microsoft JhengHei"/>
                <w:spacing w:val="-46"/>
                <w:sz w:val="16"/>
                <w:szCs w:val="16"/>
              </w:rPr>
              <w:t>ＭＳ９７Ｂ</w:t>
            </w:r>
          </w:p>
        </w:tc>
        <w:tc>
          <w:tcPr>
            <w:tcW w:w="1081" w:type="dxa"/>
            <w:vAlign w:val="top"/>
          </w:tcPr>
          <w:p>
            <w:pPr>
              <w:spacing w:before="118" w:line="180" w:lineRule="auto"/>
              <w:ind w:firstLine="370"/>
              <w:rPr>
                <w:rFonts w:ascii="Microsoft JhengHei" w:hAnsi="Microsoft JhengHei" w:eastAsia="Microsoft JhengHei" w:cs="Microsoft JhengHei"/>
                <w:sz w:val="16"/>
                <w:szCs w:val="16"/>
              </w:rPr>
            </w:pPr>
            <w:r>
              <w:rPr>
                <w:rFonts w:ascii="Microsoft JhengHei" w:hAnsi="Microsoft JhengHei" w:eastAsia="Microsoft JhengHei" w:cs="Microsoft JhengHei"/>
                <w:spacing w:val="-55"/>
                <w:sz w:val="16"/>
                <w:szCs w:val="16"/>
              </w:rPr>
              <w:t>９７．０</w:t>
            </w:r>
          </w:p>
        </w:tc>
        <w:tc>
          <w:tcPr>
            <w:tcW w:w="1081" w:type="dxa"/>
            <w:vAlign w:val="top"/>
          </w:tcPr>
          <w:p>
            <w:pPr>
              <w:spacing w:before="117" w:line="180" w:lineRule="auto"/>
              <w:ind w:firstLine="412"/>
              <w:rPr>
                <w:rFonts w:ascii="Microsoft JhengHei" w:hAnsi="Microsoft JhengHei" w:eastAsia="Microsoft JhengHei" w:cs="Microsoft JhengHei"/>
                <w:sz w:val="16"/>
                <w:szCs w:val="16"/>
              </w:rPr>
            </w:pPr>
            <w:r>
              <w:rPr>
                <w:rFonts w:ascii="Microsoft JhengHei" w:hAnsi="Microsoft JhengHei" w:eastAsia="Microsoft JhengHei" w:cs="Microsoft JhengHei"/>
                <w:spacing w:val="-47"/>
                <w:sz w:val="16"/>
                <w:szCs w:val="16"/>
              </w:rPr>
              <w:t>０．８</w:t>
            </w:r>
          </w:p>
        </w:tc>
        <w:tc>
          <w:tcPr>
            <w:tcW w:w="1081" w:type="dxa"/>
            <w:vAlign w:val="top"/>
          </w:tcPr>
          <w:p>
            <w:pPr>
              <w:spacing w:before="177" w:line="130" w:lineRule="exact"/>
              <w:ind w:firstLine="453"/>
              <w:rPr>
                <w:rFonts w:ascii="Microsoft JhengHei" w:hAnsi="Microsoft JhengHei" w:eastAsia="Microsoft JhengHei" w:cs="Microsoft JhengHei"/>
                <w:sz w:val="16"/>
                <w:szCs w:val="16"/>
              </w:rPr>
            </w:pPr>
            <w:r>
              <w:rPr>
                <w:rFonts w:ascii="Microsoft JhengHei" w:hAnsi="Microsoft JhengHei" w:eastAsia="Microsoft JhengHei" w:cs="Microsoft JhengHei"/>
                <w:position w:val="1"/>
                <w:sz w:val="16"/>
                <w:szCs w:val="16"/>
              </w:rPr>
              <w:t>—</w:t>
            </w:r>
          </w:p>
        </w:tc>
        <w:tc>
          <w:tcPr>
            <w:tcW w:w="1081" w:type="dxa"/>
            <w:vAlign w:val="top"/>
          </w:tcPr>
          <w:p>
            <w:pPr>
              <w:spacing w:before="121" w:line="180" w:lineRule="auto"/>
              <w:ind w:firstLine="371"/>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０．３０</w:t>
            </w:r>
          </w:p>
        </w:tc>
        <w:tc>
          <w:tcPr>
            <w:tcW w:w="1847" w:type="dxa"/>
            <w:vAlign w:val="top"/>
          </w:tcPr>
          <w:p>
            <w:pPr>
              <w:spacing w:before="177" w:line="130" w:lineRule="exact"/>
              <w:ind w:firstLine="841"/>
              <w:rPr>
                <w:rFonts w:ascii="Microsoft JhengHei" w:hAnsi="Microsoft JhengHei" w:eastAsia="Microsoft JhengHei" w:cs="Microsoft JhengHei"/>
                <w:sz w:val="16"/>
                <w:szCs w:val="16"/>
              </w:rPr>
            </w:pPr>
            <w:r>
              <w:rPr>
                <w:rFonts w:ascii="Microsoft JhengHei" w:hAnsi="Microsoft JhengHei" w:eastAsia="Microsoft JhengHei" w:cs="Microsoft JhengHei"/>
                <w:position w:val="1"/>
                <w:sz w:val="16"/>
                <w:szCs w:val="16"/>
              </w:rPr>
              <w:t>—</w:t>
            </w:r>
          </w:p>
        </w:tc>
        <w:tc>
          <w:tcPr>
            <w:tcW w:w="1856" w:type="dxa"/>
            <w:tcBorders>
              <w:right w:val="single" w:color="000000" w:sz="6" w:space="0"/>
            </w:tcBorders>
            <w:vAlign w:val="top"/>
          </w:tcPr>
          <w:p>
            <w:pPr>
              <w:spacing w:before="117" w:line="180" w:lineRule="auto"/>
              <w:ind w:firstLine="763"/>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３．２８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5" w:hRule="atLeast"/>
        </w:trPr>
        <w:tc>
          <w:tcPr>
            <w:tcW w:w="1178" w:type="dxa"/>
            <w:tcBorders>
              <w:left w:val="single" w:color="000000" w:sz="6" w:space="0"/>
            </w:tcBorders>
            <w:vAlign w:val="top"/>
          </w:tcPr>
          <w:p>
            <w:pPr>
              <w:spacing w:before="115" w:line="180" w:lineRule="auto"/>
              <w:ind w:firstLine="373"/>
              <w:rPr>
                <w:rFonts w:ascii="Microsoft JhengHei" w:hAnsi="Microsoft JhengHei" w:eastAsia="Microsoft JhengHei" w:cs="Microsoft JhengHei"/>
                <w:sz w:val="16"/>
                <w:szCs w:val="16"/>
              </w:rPr>
            </w:pPr>
            <w:r>
              <w:rPr>
                <w:rFonts w:ascii="Microsoft JhengHei" w:hAnsi="Microsoft JhengHei" w:eastAsia="Microsoft JhengHei" w:cs="Microsoft JhengHei"/>
                <w:spacing w:val="-40"/>
                <w:sz w:val="16"/>
                <w:szCs w:val="16"/>
              </w:rPr>
              <w:t>ＭＳ９６</w:t>
            </w:r>
          </w:p>
        </w:tc>
        <w:tc>
          <w:tcPr>
            <w:tcW w:w="1081" w:type="dxa"/>
            <w:vAlign w:val="top"/>
          </w:tcPr>
          <w:p>
            <w:pPr>
              <w:spacing w:before="119" w:line="180" w:lineRule="auto"/>
              <w:ind w:firstLine="370"/>
              <w:rPr>
                <w:rFonts w:ascii="Microsoft JhengHei" w:hAnsi="Microsoft JhengHei" w:eastAsia="Microsoft JhengHei" w:cs="Microsoft JhengHei"/>
                <w:sz w:val="16"/>
                <w:szCs w:val="16"/>
              </w:rPr>
            </w:pPr>
            <w:r>
              <w:rPr>
                <w:rFonts w:ascii="Microsoft JhengHei" w:hAnsi="Microsoft JhengHei" w:eastAsia="Microsoft JhengHei" w:cs="Microsoft JhengHei"/>
                <w:spacing w:val="-55"/>
                <w:sz w:val="16"/>
                <w:szCs w:val="16"/>
              </w:rPr>
              <w:t>９６．０</w:t>
            </w:r>
          </w:p>
        </w:tc>
        <w:tc>
          <w:tcPr>
            <w:tcW w:w="1081" w:type="dxa"/>
            <w:vAlign w:val="top"/>
          </w:tcPr>
          <w:p>
            <w:pPr>
              <w:spacing w:before="118" w:line="180" w:lineRule="auto"/>
              <w:ind w:firstLine="417"/>
              <w:rPr>
                <w:rFonts w:ascii="Microsoft JhengHei" w:hAnsi="Microsoft JhengHei" w:eastAsia="Microsoft JhengHei" w:cs="Microsoft JhengHei"/>
                <w:sz w:val="16"/>
                <w:szCs w:val="16"/>
              </w:rPr>
            </w:pPr>
            <w:r>
              <w:rPr>
                <w:rFonts w:ascii="Microsoft JhengHei" w:hAnsi="Microsoft JhengHei" w:eastAsia="Microsoft JhengHei" w:cs="Microsoft JhengHei"/>
                <w:spacing w:val="-48"/>
                <w:sz w:val="16"/>
                <w:szCs w:val="16"/>
              </w:rPr>
              <w:t>１．５</w:t>
            </w:r>
          </w:p>
        </w:tc>
        <w:tc>
          <w:tcPr>
            <w:tcW w:w="1081" w:type="dxa"/>
            <w:vAlign w:val="top"/>
          </w:tcPr>
          <w:p>
            <w:pPr>
              <w:spacing w:before="178" w:line="130" w:lineRule="exact"/>
              <w:ind w:firstLine="453"/>
              <w:rPr>
                <w:rFonts w:ascii="Microsoft JhengHei" w:hAnsi="Microsoft JhengHei" w:eastAsia="Microsoft JhengHei" w:cs="Microsoft JhengHei"/>
                <w:sz w:val="16"/>
                <w:szCs w:val="16"/>
              </w:rPr>
            </w:pPr>
            <w:r>
              <w:rPr>
                <w:rFonts w:ascii="Microsoft JhengHei" w:hAnsi="Microsoft JhengHei" w:eastAsia="Microsoft JhengHei" w:cs="Microsoft JhengHei"/>
                <w:position w:val="1"/>
                <w:sz w:val="16"/>
                <w:szCs w:val="16"/>
              </w:rPr>
              <w:t>—</w:t>
            </w:r>
          </w:p>
        </w:tc>
        <w:tc>
          <w:tcPr>
            <w:tcW w:w="1081" w:type="dxa"/>
            <w:vAlign w:val="top"/>
          </w:tcPr>
          <w:p>
            <w:pPr>
              <w:spacing w:before="122" w:line="180" w:lineRule="auto"/>
              <w:ind w:firstLine="371"/>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０．３０</w:t>
            </w:r>
          </w:p>
        </w:tc>
        <w:tc>
          <w:tcPr>
            <w:tcW w:w="1847" w:type="dxa"/>
            <w:vAlign w:val="top"/>
          </w:tcPr>
          <w:p>
            <w:pPr>
              <w:spacing w:before="178" w:line="130" w:lineRule="exact"/>
              <w:ind w:firstLine="841"/>
              <w:rPr>
                <w:rFonts w:ascii="Microsoft JhengHei" w:hAnsi="Microsoft JhengHei" w:eastAsia="Microsoft JhengHei" w:cs="Microsoft JhengHei"/>
                <w:sz w:val="16"/>
                <w:szCs w:val="16"/>
              </w:rPr>
            </w:pPr>
            <w:r>
              <w:rPr>
                <w:rFonts w:ascii="Microsoft JhengHei" w:hAnsi="Microsoft JhengHei" w:eastAsia="Microsoft JhengHei" w:cs="Microsoft JhengHei"/>
                <w:position w:val="1"/>
                <w:sz w:val="16"/>
                <w:szCs w:val="16"/>
              </w:rPr>
              <w:t>—</w:t>
            </w:r>
          </w:p>
        </w:tc>
        <w:tc>
          <w:tcPr>
            <w:tcW w:w="1856" w:type="dxa"/>
            <w:tcBorders>
              <w:right w:val="single" w:color="000000" w:sz="6" w:space="0"/>
            </w:tcBorders>
            <w:vAlign w:val="top"/>
          </w:tcPr>
          <w:p>
            <w:pPr>
              <w:spacing w:before="118" w:line="180" w:lineRule="auto"/>
              <w:ind w:firstLine="763"/>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３．２５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5" w:hRule="atLeast"/>
        </w:trPr>
        <w:tc>
          <w:tcPr>
            <w:tcW w:w="1178" w:type="dxa"/>
            <w:tcBorders>
              <w:left w:val="single" w:color="000000" w:sz="6" w:space="0"/>
            </w:tcBorders>
            <w:vAlign w:val="top"/>
          </w:tcPr>
          <w:p>
            <w:pPr>
              <w:spacing w:before="116" w:line="180" w:lineRule="auto"/>
              <w:ind w:firstLine="373"/>
              <w:rPr>
                <w:rFonts w:ascii="Microsoft JhengHei" w:hAnsi="Microsoft JhengHei" w:eastAsia="Microsoft JhengHei" w:cs="Microsoft JhengHei"/>
                <w:sz w:val="16"/>
                <w:szCs w:val="16"/>
              </w:rPr>
            </w:pPr>
            <w:r>
              <w:rPr>
                <w:rFonts w:ascii="Microsoft JhengHei" w:hAnsi="Microsoft JhengHei" w:eastAsia="Microsoft JhengHei" w:cs="Microsoft JhengHei"/>
                <w:spacing w:val="-40"/>
                <w:sz w:val="16"/>
                <w:szCs w:val="16"/>
              </w:rPr>
              <w:t>ＭＳ９５</w:t>
            </w:r>
          </w:p>
        </w:tc>
        <w:tc>
          <w:tcPr>
            <w:tcW w:w="1081" w:type="dxa"/>
            <w:vAlign w:val="top"/>
          </w:tcPr>
          <w:p>
            <w:pPr>
              <w:spacing w:before="120" w:line="180" w:lineRule="auto"/>
              <w:ind w:firstLine="370"/>
              <w:rPr>
                <w:rFonts w:ascii="Microsoft JhengHei" w:hAnsi="Microsoft JhengHei" w:eastAsia="Microsoft JhengHei" w:cs="Microsoft JhengHei"/>
                <w:sz w:val="16"/>
                <w:szCs w:val="16"/>
              </w:rPr>
            </w:pPr>
            <w:r>
              <w:rPr>
                <w:rFonts w:ascii="Microsoft JhengHei" w:hAnsi="Microsoft JhengHei" w:eastAsia="Microsoft JhengHei" w:cs="Microsoft JhengHei"/>
                <w:spacing w:val="-55"/>
                <w:sz w:val="16"/>
                <w:szCs w:val="16"/>
              </w:rPr>
              <w:t>９５．０</w:t>
            </w:r>
          </w:p>
        </w:tc>
        <w:tc>
          <w:tcPr>
            <w:tcW w:w="1081" w:type="dxa"/>
            <w:vAlign w:val="top"/>
          </w:tcPr>
          <w:p>
            <w:pPr>
              <w:spacing w:before="119" w:line="180" w:lineRule="auto"/>
              <w:ind w:firstLine="414"/>
              <w:rPr>
                <w:rFonts w:ascii="Microsoft JhengHei" w:hAnsi="Microsoft JhengHei" w:eastAsia="Microsoft JhengHei" w:cs="Microsoft JhengHei"/>
                <w:sz w:val="16"/>
                <w:szCs w:val="16"/>
              </w:rPr>
            </w:pPr>
            <w:r>
              <w:rPr>
                <w:rFonts w:ascii="Microsoft JhengHei" w:hAnsi="Microsoft JhengHei" w:eastAsia="Microsoft JhengHei" w:cs="Microsoft JhengHei"/>
                <w:spacing w:val="-48"/>
                <w:sz w:val="16"/>
                <w:szCs w:val="16"/>
              </w:rPr>
              <w:t>２．２</w:t>
            </w:r>
          </w:p>
        </w:tc>
        <w:tc>
          <w:tcPr>
            <w:tcW w:w="1081" w:type="dxa"/>
            <w:vAlign w:val="top"/>
          </w:tcPr>
          <w:p>
            <w:pPr>
              <w:spacing w:before="119" w:line="180" w:lineRule="auto"/>
              <w:ind w:firstLine="419"/>
              <w:rPr>
                <w:rFonts w:ascii="Microsoft JhengHei" w:hAnsi="Microsoft JhengHei" w:eastAsia="Microsoft JhengHei" w:cs="Microsoft JhengHei"/>
                <w:sz w:val="16"/>
                <w:szCs w:val="16"/>
              </w:rPr>
            </w:pPr>
            <w:r>
              <w:rPr>
                <w:rFonts w:ascii="Microsoft JhengHei" w:hAnsi="Microsoft JhengHei" w:eastAsia="Microsoft JhengHei" w:cs="Microsoft JhengHei"/>
                <w:spacing w:val="-49"/>
                <w:sz w:val="16"/>
                <w:szCs w:val="16"/>
              </w:rPr>
              <w:t>１．８</w:t>
            </w:r>
          </w:p>
        </w:tc>
        <w:tc>
          <w:tcPr>
            <w:tcW w:w="1081" w:type="dxa"/>
            <w:vAlign w:val="top"/>
          </w:tcPr>
          <w:p>
            <w:pPr>
              <w:spacing w:before="123" w:line="180" w:lineRule="auto"/>
              <w:ind w:firstLine="371"/>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０．３０</w:t>
            </w:r>
          </w:p>
        </w:tc>
        <w:tc>
          <w:tcPr>
            <w:tcW w:w="1847" w:type="dxa"/>
            <w:vAlign w:val="top"/>
          </w:tcPr>
          <w:p>
            <w:pPr>
              <w:spacing w:before="179" w:line="130" w:lineRule="exact"/>
              <w:ind w:firstLine="841"/>
              <w:rPr>
                <w:rFonts w:ascii="Microsoft JhengHei" w:hAnsi="Microsoft JhengHei" w:eastAsia="Microsoft JhengHei" w:cs="Microsoft JhengHei"/>
                <w:sz w:val="16"/>
                <w:szCs w:val="16"/>
              </w:rPr>
            </w:pPr>
            <w:r>
              <w:rPr>
                <w:rFonts w:ascii="Microsoft JhengHei" w:hAnsi="Microsoft JhengHei" w:eastAsia="Microsoft JhengHei" w:cs="Microsoft JhengHei"/>
                <w:position w:val="1"/>
                <w:sz w:val="16"/>
                <w:szCs w:val="16"/>
              </w:rPr>
              <w:t>—</w:t>
            </w:r>
          </w:p>
        </w:tc>
        <w:tc>
          <w:tcPr>
            <w:tcW w:w="1856" w:type="dxa"/>
            <w:tcBorders>
              <w:right w:val="single" w:color="000000" w:sz="6" w:space="0"/>
            </w:tcBorders>
            <w:vAlign w:val="top"/>
          </w:tcPr>
          <w:p>
            <w:pPr>
              <w:spacing w:before="119" w:line="180" w:lineRule="auto"/>
              <w:ind w:firstLine="763"/>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３．２０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5" w:hRule="atLeast"/>
        </w:trPr>
        <w:tc>
          <w:tcPr>
            <w:tcW w:w="1178" w:type="dxa"/>
            <w:tcBorders>
              <w:left w:val="single" w:color="000000" w:sz="6" w:space="0"/>
            </w:tcBorders>
            <w:vAlign w:val="top"/>
          </w:tcPr>
          <w:p>
            <w:pPr>
              <w:spacing w:before="117" w:line="180" w:lineRule="auto"/>
              <w:ind w:firstLine="373"/>
              <w:rPr>
                <w:rFonts w:ascii="Microsoft JhengHei" w:hAnsi="Microsoft JhengHei" w:eastAsia="Microsoft JhengHei" w:cs="Microsoft JhengHei"/>
                <w:sz w:val="16"/>
                <w:szCs w:val="16"/>
              </w:rPr>
            </w:pPr>
            <w:r>
              <w:rPr>
                <w:rFonts w:ascii="Microsoft JhengHei" w:hAnsi="Microsoft JhengHei" w:eastAsia="Microsoft JhengHei" w:cs="Microsoft JhengHei"/>
                <w:spacing w:val="-40"/>
                <w:sz w:val="16"/>
                <w:szCs w:val="16"/>
              </w:rPr>
              <w:t>ＭＳ９４</w:t>
            </w:r>
          </w:p>
        </w:tc>
        <w:tc>
          <w:tcPr>
            <w:tcW w:w="1081" w:type="dxa"/>
            <w:vAlign w:val="top"/>
          </w:tcPr>
          <w:p>
            <w:pPr>
              <w:spacing w:before="121" w:line="180" w:lineRule="auto"/>
              <w:ind w:firstLine="370"/>
              <w:rPr>
                <w:rFonts w:ascii="Microsoft JhengHei" w:hAnsi="Microsoft JhengHei" w:eastAsia="Microsoft JhengHei" w:cs="Microsoft JhengHei"/>
                <w:sz w:val="16"/>
                <w:szCs w:val="16"/>
              </w:rPr>
            </w:pPr>
            <w:r>
              <w:rPr>
                <w:rFonts w:ascii="Microsoft JhengHei" w:hAnsi="Microsoft JhengHei" w:eastAsia="Microsoft JhengHei" w:cs="Microsoft JhengHei"/>
                <w:spacing w:val="-55"/>
                <w:sz w:val="16"/>
                <w:szCs w:val="16"/>
              </w:rPr>
              <w:t>９４．０</w:t>
            </w:r>
          </w:p>
        </w:tc>
        <w:tc>
          <w:tcPr>
            <w:tcW w:w="1081" w:type="dxa"/>
            <w:vAlign w:val="top"/>
          </w:tcPr>
          <w:p>
            <w:pPr>
              <w:spacing w:before="124" w:line="180" w:lineRule="auto"/>
              <w:ind w:firstLine="415"/>
              <w:rPr>
                <w:rFonts w:ascii="Microsoft JhengHei" w:hAnsi="Microsoft JhengHei" w:eastAsia="Microsoft JhengHei" w:cs="Microsoft JhengHei"/>
                <w:sz w:val="16"/>
                <w:szCs w:val="16"/>
              </w:rPr>
            </w:pPr>
            <w:r>
              <w:rPr>
                <w:rFonts w:ascii="Microsoft JhengHei" w:hAnsi="Microsoft JhengHei" w:eastAsia="Microsoft JhengHei" w:cs="Microsoft JhengHei"/>
                <w:spacing w:val="-49"/>
                <w:sz w:val="16"/>
                <w:szCs w:val="16"/>
              </w:rPr>
              <w:t>３．０</w:t>
            </w:r>
          </w:p>
        </w:tc>
        <w:tc>
          <w:tcPr>
            <w:tcW w:w="1081" w:type="dxa"/>
            <w:vAlign w:val="top"/>
          </w:tcPr>
          <w:p>
            <w:pPr>
              <w:spacing w:before="120" w:line="180" w:lineRule="auto"/>
              <w:ind w:firstLine="419"/>
              <w:rPr>
                <w:rFonts w:ascii="Microsoft JhengHei" w:hAnsi="Microsoft JhengHei" w:eastAsia="Microsoft JhengHei" w:cs="Microsoft JhengHei"/>
                <w:sz w:val="16"/>
                <w:szCs w:val="16"/>
              </w:rPr>
            </w:pPr>
            <w:r>
              <w:rPr>
                <w:rFonts w:ascii="Microsoft JhengHei" w:hAnsi="Microsoft JhengHei" w:eastAsia="Microsoft JhengHei" w:cs="Microsoft JhengHei"/>
                <w:spacing w:val="-49"/>
                <w:sz w:val="16"/>
                <w:szCs w:val="16"/>
              </w:rPr>
              <w:t>１．８</w:t>
            </w:r>
          </w:p>
        </w:tc>
        <w:tc>
          <w:tcPr>
            <w:tcW w:w="1081" w:type="dxa"/>
            <w:vAlign w:val="top"/>
          </w:tcPr>
          <w:p>
            <w:pPr>
              <w:spacing w:before="124" w:line="180" w:lineRule="auto"/>
              <w:ind w:firstLine="371"/>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０．３０</w:t>
            </w:r>
          </w:p>
        </w:tc>
        <w:tc>
          <w:tcPr>
            <w:tcW w:w="1847" w:type="dxa"/>
            <w:vAlign w:val="top"/>
          </w:tcPr>
          <w:p>
            <w:pPr>
              <w:spacing w:before="180" w:line="130" w:lineRule="exact"/>
              <w:ind w:firstLine="841"/>
              <w:rPr>
                <w:rFonts w:ascii="Microsoft JhengHei" w:hAnsi="Microsoft JhengHei" w:eastAsia="Microsoft JhengHei" w:cs="Microsoft JhengHei"/>
                <w:sz w:val="16"/>
                <w:szCs w:val="16"/>
              </w:rPr>
            </w:pPr>
            <w:r>
              <w:rPr>
                <w:rFonts w:ascii="Microsoft JhengHei" w:hAnsi="Microsoft JhengHei" w:eastAsia="Microsoft JhengHei" w:cs="Microsoft JhengHei"/>
                <w:position w:val="1"/>
                <w:sz w:val="16"/>
                <w:szCs w:val="16"/>
              </w:rPr>
              <w:t>—</w:t>
            </w:r>
          </w:p>
        </w:tc>
        <w:tc>
          <w:tcPr>
            <w:tcW w:w="1856" w:type="dxa"/>
            <w:tcBorders>
              <w:right w:val="single" w:color="000000" w:sz="6" w:space="0"/>
            </w:tcBorders>
            <w:vAlign w:val="top"/>
          </w:tcPr>
          <w:p>
            <w:pPr>
              <w:spacing w:before="120" w:line="180" w:lineRule="auto"/>
              <w:ind w:firstLine="763"/>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３．２０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5" w:hRule="atLeast"/>
        </w:trPr>
        <w:tc>
          <w:tcPr>
            <w:tcW w:w="1178" w:type="dxa"/>
            <w:tcBorders>
              <w:left w:val="single" w:color="000000" w:sz="6" w:space="0"/>
            </w:tcBorders>
            <w:vAlign w:val="top"/>
          </w:tcPr>
          <w:p>
            <w:pPr>
              <w:spacing w:before="118" w:line="180" w:lineRule="auto"/>
              <w:ind w:firstLine="373"/>
              <w:rPr>
                <w:rFonts w:ascii="Microsoft JhengHei" w:hAnsi="Microsoft JhengHei" w:eastAsia="Microsoft JhengHei" w:cs="Microsoft JhengHei"/>
                <w:sz w:val="16"/>
                <w:szCs w:val="16"/>
              </w:rPr>
            </w:pPr>
            <w:r>
              <w:rPr>
                <w:rFonts w:ascii="Microsoft JhengHei" w:hAnsi="Microsoft JhengHei" w:eastAsia="Microsoft JhengHei" w:cs="Microsoft JhengHei"/>
                <w:spacing w:val="-40"/>
                <w:sz w:val="16"/>
                <w:szCs w:val="16"/>
              </w:rPr>
              <w:t>ＭＳ９２</w:t>
            </w:r>
          </w:p>
        </w:tc>
        <w:tc>
          <w:tcPr>
            <w:tcW w:w="1081" w:type="dxa"/>
            <w:vAlign w:val="top"/>
          </w:tcPr>
          <w:p>
            <w:pPr>
              <w:spacing w:before="121" w:line="180" w:lineRule="auto"/>
              <w:ind w:firstLine="370"/>
              <w:rPr>
                <w:rFonts w:ascii="Microsoft JhengHei" w:hAnsi="Microsoft JhengHei" w:eastAsia="Microsoft JhengHei" w:cs="Microsoft JhengHei"/>
                <w:sz w:val="16"/>
                <w:szCs w:val="16"/>
              </w:rPr>
            </w:pPr>
            <w:r>
              <w:rPr>
                <w:rFonts w:ascii="Microsoft JhengHei" w:hAnsi="Microsoft JhengHei" w:eastAsia="Microsoft JhengHei" w:cs="Microsoft JhengHei"/>
                <w:spacing w:val="-55"/>
                <w:sz w:val="16"/>
                <w:szCs w:val="16"/>
              </w:rPr>
              <w:t>９２．０</w:t>
            </w:r>
          </w:p>
        </w:tc>
        <w:tc>
          <w:tcPr>
            <w:tcW w:w="1081" w:type="dxa"/>
            <w:vAlign w:val="top"/>
          </w:tcPr>
          <w:p>
            <w:pPr>
              <w:spacing w:before="122" w:line="180" w:lineRule="auto"/>
              <w:ind w:firstLine="412"/>
              <w:rPr>
                <w:rFonts w:ascii="Microsoft JhengHei" w:hAnsi="Microsoft JhengHei" w:eastAsia="Microsoft JhengHei" w:cs="Microsoft JhengHei"/>
                <w:sz w:val="16"/>
                <w:szCs w:val="16"/>
              </w:rPr>
            </w:pPr>
            <w:r>
              <w:rPr>
                <w:rFonts w:ascii="Microsoft JhengHei" w:hAnsi="Microsoft JhengHei" w:eastAsia="Microsoft JhengHei" w:cs="Microsoft JhengHei"/>
                <w:spacing w:val="-48"/>
                <w:sz w:val="16"/>
                <w:szCs w:val="16"/>
              </w:rPr>
              <w:t>４．０</w:t>
            </w:r>
          </w:p>
        </w:tc>
        <w:tc>
          <w:tcPr>
            <w:tcW w:w="1081" w:type="dxa"/>
            <w:vAlign w:val="top"/>
          </w:tcPr>
          <w:p>
            <w:pPr>
              <w:spacing w:before="121" w:line="180" w:lineRule="auto"/>
              <w:ind w:firstLine="419"/>
              <w:rPr>
                <w:rFonts w:ascii="Microsoft JhengHei" w:hAnsi="Microsoft JhengHei" w:eastAsia="Microsoft JhengHei" w:cs="Microsoft JhengHei"/>
                <w:sz w:val="16"/>
                <w:szCs w:val="16"/>
              </w:rPr>
            </w:pPr>
            <w:r>
              <w:rPr>
                <w:rFonts w:ascii="Microsoft JhengHei" w:hAnsi="Microsoft JhengHei" w:eastAsia="Microsoft JhengHei" w:cs="Microsoft JhengHei"/>
                <w:spacing w:val="-49"/>
                <w:sz w:val="16"/>
                <w:szCs w:val="16"/>
              </w:rPr>
              <w:t>１．８</w:t>
            </w:r>
          </w:p>
        </w:tc>
        <w:tc>
          <w:tcPr>
            <w:tcW w:w="1081" w:type="dxa"/>
            <w:vAlign w:val="top"/>
          </w:tcPr>
          <w:p>
            <w:pPr>
              <w:spacing w:before="125" w:line="180" w:lineRule="auto"/>
              <w:ind w:firstLine="371"/>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０．３０</w:t>
            </w:r>
          </w:p>
        </w:tc>
        <w:tc>
          <w:tcPr>
            <w:tcW w:w="1847" w:type="dxa"/>
            <w:vAlign w:val="top"/>
          </w:tcPr>
          <w:p>
            <w:pPr>
              <w:spacing w:before="180" w:line="131" w:lineRule="exact"/>
              <w:ind w:firstLine="841"/>
              <w:rPr>
                <w:rFonts w:ascii="Microsoft JhengHei" w:hAnsi="Microsoft JhengHei" w:eastAsia="Microsoft JhengHei" w:cs="Microsoft JhengHei"/>
                <w:sz w:val="16"/>
                <w:szCs w:val="16"/>
              </w:rPr>
            </w:pPr>
            <w:r>
              <w:rPr>
                <w:rFonts w:ascii="Microsoft JhengHei" w:hAnsi="Microsoft JhengHei" w:eastAsia="Microsoft JhengHei" w:cs="Microsoft JhengHei"/>
                <w:position w:val="1"/>
                <w:sz w:val="16"/>
                <w:szCs w:val="16"/>
              </w:rPr>
              <w:t>—</w:t>
            </w:r>
          </w:p>
        </w:tc>
        <w:tc>
          <w:tcPr>
            <w:tcW w:w="1856" w:type="dxa"/>
            <w:tcBorders>
              <w:right w:val="single" w:color="000000" w:sz="6" w:space="0"/>
            </w:tcBorders>
            <w:vAlign w:val="top"/>
          </w:tcPr>
          <w:p>
            <w:pPr>
              <w:spacing w:before="121" w:line="180" w:lineRule="auto"/>
              <w:ind w:firstLine="763"/>
              <w:rPr>
                <w:rFonts w:ascii="Microsoft JhengHei" w:hAnsi="Microsoft JhengHei" w:eastAsia="Microsoft JhengHei" w:cs="Microsoft JhengHei"/>
                <w:sz w:val="16"/>
                <w:szCs w:val="16"/>
              </w:rPr>
            </w:pPr>
            <w:r>
              <w:rPr>
                <w:rFonts w:ascii="Microsoft JhengHei" w:hAnsi="Microsoft JhengHei" w:eastAsia="Microsoft JhengHei" w:cs="Microsoft JhengHei"/>
                <w:spacing w:val="-61"/>
                <w:sz w:val="16"/>
                <w:szCs w:val="16"/>
              </w:rPr>
              <w:t>３．１８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5" w:hRule="atLeast"/>
        </w:trPr>
        <w:tc>
          <w:tcPr>
            <w:tcW w:w="1178" w:type="dxa"/>
            <w:tcBorders>
              <w:left w:val="single" w:color="000000" w:sz="6" w:space="0"/>
            </w:tcBorders>
            <w:vAlign w:val="top"/>
          </w:tcPr>
          <w:p>
            <w:pPr>
              <w:spacing w:before="119" w:line="180" w:lineRule="auto"/>
              <w:ind w:firstLine="373"/>
              <w:rPr>
                <w:rFonts w:ascii="Microsoft JhengHei" w:hAnsi="Microsoft JhengHei" w:eastAsia="Microsoft JhengHei" w:cs="Microsoft JhengHei"/>
                <w:sz w:val="16"/>
                <w:szCs w:val="16"/>
              </w:rPr>
            </w:pPr>
            <w:r>
              <w:rPr>
                <w:rFonts w:ascii="Microsoft JhengHei" w:hAnsi="Microsoft JhengHei" w:eastAsia="Microsoft JhengHei" w:cs="Microsoft JhengHei"/>
                <w:spacing w:val="-40"/>
                <w:sz w:val="16"/>
                <w:szCs w:val="16"/>
              </w:rPr>
              <w:t>ＭＳ９０</w:t>
            </w:r>
          </w:p>
        </w:tc>
        <w:tc>
          <w:tcPr>
            <w:tcW w:w="1081" w:type="dxa"/>
            <w:vAlign w:val="top"/>
          </w:tcPr>
          <w:p>
            <w:pPr>
              <w:spacing w:before="126" w:line="180" w:lineRule="auto"/>
              <w:ind w:firstLine="370"/>
              <w:rPr>
                <w:rFonts w:ascii="Microsoft JhengHei" w:hAnsi="Microsoft JhengHei" w:eastAsia="Microsoft JhengHei" w:cs="Microsoft JhengHei"/>
                <w:sz w:val="16"/>
                <w:szCs w:val="16"/>
              </w:rPr>
            </w:pPr>
            <w:r>
              <w:rPr>
                <w:rFonts w:ascii="Microsoft JhengHei" w:hAnsi="Microsoft JhengHei" w:eastAsia="Microsoft JhengHei" w:cs="Microsoft JhengHei"/>
                <w:spacing w:val="-55"/>
                <w:sz w:val="16"/>
                <w:szCs w:val="16"/>
              </w:rPr>
              <w:t>９０．０</w:t>
            </w:r>
          </w:p>
        </w:tc>
        <w:tc>
          <w:tcPr>
            <w:tcW w:w="1081" w:type="dxa"/>
            <w:vAlign w:val="top"/>
          </w:tcPr>
          <w:p>
            <w:pPr>
              <w:spacing w:before="122" w:line="180" w:lineRule="auto"/>
              <w:ind w:firstLine="412"/>
              <w:rPr>
                <w:rFonts w:ascii="Microsoft JhengHei" w:hAnsi="Microsoft JhengHei" w:eastAsia="Microsoft JhengHei" w:cs="Microsoft JhengHei"/>
                <w:sz w:val="16"/>
                <w:szCs w:val="16"/>
              </w:rPr>
            </w:pPr>
            <w:r>
              <w:rPr>
                <w:rFonts w:ascii="Microsoft JhengHei" w:hAnsi="Microsoft JhengHei" w:eastAsia="Microsoft JhengHei" w:cs="Microsoft JhengHei"/>
                <w:spacing w:val="-47"/>
                <w:sz w:val="16"/>
                <w:szCs w:val="16"/>
              </w:rPr>
              <w:t>４．８</w:t>
            </w:r>
          </w:p>
        </w:tc>
        <w:tc>
          <w:tcPr>
            <w:tcW w:w="1081" w:type="dxa"/>
            <w:vAlign w:val="top"/>
          </w:tcPr>
          <w:p>
            <w:pPr>
              <w:spacing w:before="122" w:line="180" w:lineRule="auto"/>
              <w:ind w:firstLine="416"/>
              <w:rPr>
                <w:rFonts w:ascii="Microsoft JhengHei" w:hAnsi="Microsoft JhengHei" w:eastAsia="Microsoft JhengHei" w:cs="Microsoft JhengHei"/>
                <w:sz w:val="16"/>
                <w:szCs w:val="16"/>
              </w:rPr>
            </w:pPr>
            <w:r>
              <w:rPr>
                <w:rFonts w:ascii="Microsoft JhengHei" w:hAnsi="Microsoft JhengHei" w:eastAsia="Microsoft JhengHei" w:cs="Microsoft JhengHei"/>
                <w:spacing w:val="-47"/>
                <w:sz w:val="16"/>
                <w:szCs w:val="16"/>
              </w:rPr>
              <w:t>２．５</w:t>
            </w:r>
          </w:p>
        </w:tc>
        <w:tc>
          <w:tcPr>
            <w:tcW w:w="1081" w:type="dxa"/>
            <w:vAlign w:val="top"/>
          </w:tcPr>
          <w:p>
            <w:pPr>
              <w:spacing w:before="126" w:line="180" w:lineRule="auto"/>
              <w:ind w:firstLine="371"/>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０．３０</w:t>
            </w:r>
          </w:p>
        </w:tc>
        <w:tc>
          <w:tcPr>
            <w:tcW w:w="1847" w:type="dxa"/>
            <w:vAlign w:val="top"/>
          </w:tcPr>
          <w:p>
            <w:pPr>
              <w:spacing w:before="181" w:line="131" w:lineRule="exact"/>
              <w:ind w:firstLine="841"/>
              <w:rPr>
                <w:rFonts w:ascii="Microsoft JhengHei" w:hAnsi="Microsoft JhengHei" w:eastAsia="Microsoft JhengHei" w:cs="Microsoft JhengHei"/>
                <w:sz w:val="16"/>
                <w:szCs w:val="16"/>
              </w:rPr>
            </w:pPr>
            <w:r>
              <w:rPr>
                <w:rFonts w:ascii="Microsoft JhengHei" w:hAnsi="Microsoft JhengHei" w:eastAsia="Microsoft JhengHei" w:cs="Microsoft JhengHei"/>
                <w:position w:val="1"/>
                <w:sz w:val="16"/>
                <w:szCs w:val="16"/>
              </w:rPr>
              <w:t>—</w:t>
            </w:r>
          </w:p>
        </w:tc>
        <w:tc>
          <w:tcPr>
            <w:tcW w:w="1856" w:type="dxa"/>
            <w:tcBorders>
              <w:right w:val="single" w:color="000000" w:sz="6" w:space="0"/>
            </w:tcBorders>
            <w:vAlign w:val="top"/>
          </w:tcPr>
          <w:p>
            <w:pPr>
              <w:spacing w:before="122" w:line="180" w:lineRule="auto"/>
              <w:ind w:firstLine="763"/>
              <w:rPr>
                <w:rFonts w:ascii="Microsoft JhengHei" w:hAnsi="Microsoft JhengHei" w:eastAsia="Microsoft JhengHei" w:cs="Microsoft JhengHei"/>
                <w:sz w:val="16"/>
                <w:szCs w:val="16"/>
              </w:rPr>
            </w:pPr>
            <w:r>
              <w:rPr>
                <w:rFonts w:ascii="Microsoft JhengHei" w:hAnsi="Microsoft JhengHei" w:eastAsia="Microsoft JhengHei" w:cs="Microsoft JhengHei"/>
                <w:spacing w:val="-61"/>
                <w:sz w:val="16"/>
                <w:szCs w:val="16"/>
              </w:rPr>
              <w:t>３．１８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5" w:hRule="atLeast"/>
        </w:trPr>
        <w:tc>
          <w:tcPr>
            <w:tcW w:w="1178" w:type="dxa"/>
            <w:tcBorders>
              <w:left w:val="single" w:color="000000" w:sz="6" w:space="0"/>
            </w:tcBorders>
            <w:vAlign w:val="top"/>
          </w:tcPr>
          <w:p>
            <w:pPr>
              <w:spacing w:before="120" w:line="180" w:lineRule="auto"/>
              <w:ind w:firstLine="373"/>
              <w:rPr>
                <w:rFonts w:ascii="Microsoft JhengHei" w:hAnsi="Microsoft JhengHei" w:eastAsia="Microsoft JhengHei" w:cs="Microsoft JhengHei"/>
                <w:sz w:val="16"/>
                <w:szCs w:val="16"/>
              </w:rPr>
            </w:pPr>
            <w:r>
              <w:rPr>
                <w:rFonts w:ascii="Microsoft JhengHei" w:hAnsi="Microsoft JhengHei" w:eastAsia="Microsoft JhengHei" w:cs="Microsoft JhengHei"/>
                <w:spacing w:val="-40"/>
                <w:sz w:val="16"/>
                <w:szCs w:val="16"/>
              </w:rPr>
              <w:t>ＭＳ８８</w:t>
            </w:r>
          </w:p>
        </w:tc>
        <w:tc>
          <w:tcPr>
            <w:tcW w:w="1081" w:type="dxa"/>
            <w:vAlign w:val="top"/>
          </w:tcPr>
          <w:p>
            <w:pPr>
              <w:spacing w:before="123" w:line="180" w:lineRule="auto"/>
              <w:ind w:firstLine="367"/>
              <w:rPr>
                <w:rFonts w:ascii="Microsoft JhengHei" w:hAnsi="Microsoft JhengHei" w:eastAsia="Microsoft JhengHei" w:cs="Microsoft JhengHei"/>
                <w:sz w:val="16"/>
                <w:szCs w:val="16"/>
              </w:rPr>
            </w:pPr>
            <w:r>
              <w:rPr>
                <w:rFonts w:ascii="Microsoft JhengHei" w:hAnsi="Microsoft JhengHei" w:eastAsia="Microsoft JhengHei" w:cs="Microsoft JhengHei"/>
                <w:spacing w:val="-54"/>
                <w:sz w:val="16"/>
                <w:szCs w:val="16"/>
              </w:rPr>
              <w:t>８８．０</w:t>
            </w:r>
          </w:p>
        </w:tc>
        <w:tc>
          <w:tcPr>
            <w:tcW w:w="1081" w:type="dxa"/>
            <w:vAlign w:val="top"/>
          </w:tcPr>
          <w:p>
            <w:pPr>
              <w:spacing w:before="124" w:line="180" w:lineRule="auto"/>
              <w:ind w:firstLine="412"/>
              <w:rPr>
                <w:rFonts w:ascii="Microsoft JhengHei" w:hAnsi="Microsoft JhengHei" w:eastAsia="Microsoft JhengHei" w:cs="Microsoft JhengHei"/>
                <w:sz w:val="16"/>
                <w:szCs w:val="16"/>
              </w:rPr>
            </w:pPr>
            <w:r>
              <w:rPr>
                <w:rFonts w:ascii="Microsoft JhengHei" w:hAnsi="Microsoft JhengHei" w:eastAsia="Microsoft JhengHei" w:cs="Microsoft JhengHei"/>
                <w:spacing w:val="-48"/>
                <w:sz w:val="16"/>
                <w:szCs w:val="16"/>
              </w:rPr>
              <w:t>４．０</w:t>
            </w:r>
          </w:p>
        </w:tc>
        <w:tc>
          <w:tcPr>
            <w:tcW w:w="1081" w:type="dxa"/>
            <w:vAlign w:val="top"/>
          </w:tcPr>
          <w:p>
            <w:pPr>
              <w:spacing w:before="124" w:line="180" w:lineRule="auto"/>
              <w:ind w:firstLine="417"/>
              <w:rPr>
                <w:rFonts w:ascii="Microsoft JhengHei" w:hAnsi="Microsoft JhengHei" w:eastAsia="Microsoft JhengHei" w:cs="Microsoft JhengHei"/>
                <w:sz w:val="16"/>
                <w:szCs w:val="16"/>
              </w:rPr>
            </w:pPr>
            <w:r>
              <w:rPr>
                <w:rFonts w:ascii="Microsoft JhengHei" w:hAnsi="Microsoft JhengHei" w:eastAsia="Microsoft JhengHei" w:cs="Microsoft JhengHei"/>
                <w:spacing w:val="-49"/>
                <w:sz w:val="16"/>
                <w:szCs w:val="16"/>
              </w:rPr>
              <w:t>５．０</w:t>
            </w:r>
          </w:p>
        </w:tc>
        <w:tc>
          <w:tcPr>
            <w:tcW w:w="1081" w:type="dxa"/>
            <w:vAlign w:val="top"/>
          </w:tcPr>
          <w:p>
            <w:pPr>
              <w:spacing w:before="124" w:line="180" w:lineRule="auto"/>
              <w:ind w:firstLine="371"/>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０．５０</w:t>
            </w:r>
          </w:p>
        </w:tc>
        <w:tc>
          <w:tcPr>
            <w:tcW w:w="1847" w:type="dxa"/>
            <w:vAlign w:val="top"/>
          </w:tcPr>
          <w:p>
            <w:pPr>
              <w:spacing w:before="182" w:line="131" w:lineRule="exact"/>
              <w:ind w:firstLine="841"/>
              <w:rPr>
                <w:rFonts w:ascii="Microsoft JhengHei" w:hAnsi="Microsoft JhengHei" w:eastAsia="Microsoft JhengHei" w:cs="Microsoft JhengHei"/>
                <w:sz w:val="16"/>
                <w:szCs w:val="16"/>
              </w:rPr>
            </w:pPr>
            <w:r>
              <w:rPr>
                <w:rFonts w:ascii="Microsoft JhengHei" w:hAnsi="Microsoft JhengHei" w:eastAsia="Microsoft JhengHei" w:cs="Microsoft JhengHei"/>
                <w:position w:val="1"/>
                <w:sz w:val="16"/>
                <w:szCs w:val="16"/>
              </w:rPr>
              <w:t>—</w:t>
            </w:r>
          </w:p>
        </w:tc>
        <w:tc>
          <w:tcPr>
            <w:tcW w:w="1856" w:type="dxa"/>
            <w:tcBorders>
              <w:right w:val="single" w:color="000000" w:sz="6" w:space="0"/>
            </w:tcBorders>
            <w:vAlign w:val="top"/>
          </w:tcPr>
          <w:p>
            <w:pPr>
              <w:spacing w:before="182" w:line="131" w:lineRule="exact"/>
              <w:ind w:firstLine="844"/>
              <w:rPr>
                <w:rFonts w:ascii="Microsoft JhengHei" w:hAnsi="Microsoft JhengHei" w:eastAsia="Microsoft JhengHei" w:cs="Microsoft JhengHei"/>
                <w:sz w:val="16"/>
                <w:szCs w:val="16"/>
              </w:rPr>
            </w:pPr>
            <w:r>
              <w:rPr>
                <w:rFonts w:ascii="Microsoft JhengHei" w:hAnsi="Microsoft JhengHei" w:eastAsia="Microsoft JhengHei" w:cs="Microsoft JhengHei"/>
                <w:position w:val="1"/>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5" w:hRule="atLeast"/>
        </w:trPr>
        <w:tc>
          <w:tcPr>
            <w:tcW w:w="1178" w:type="dxa"/>
            <w:tcBorders>
              <w:left w:val="single" w:color="000000" w:sz="6" w:space="0"/>
            </w:tcBorders>
            <w:vAlign w:val="top"/>
          </w:tcPr>
          <w:p>
            <w:pPr>
              <w:spacing w:before="121" w:line="180" w:lineRule="auto"/>
              <w:ind w:firstLine="373"/>
              <w:rPr>
                <w:rFonts w:ascii="Microsoft JhengHei" w:hAnsi="Microsoft JhengHei" w:eastAsia="Microsoft JhengHei" w:cs="Microsoft JhengHei"/>
                <w:sz w:val="16"/>
                <w:szCs w:val="16"/>
              </w:rPr>
            </w:pPr>
            <w:r>
              <w:rPr>
                <w:rFonts w:ascii="Microsoft JhengHei" w:hAnsi="Microsoft JhengHei" w:eastAsia="Microsoft JhengHei" w:cs="Microsoft JhengHei"/>
                <w:spacing w:val="-40"/>
                <w:sz w:val="16"/>
                <w:szCs w:val="16"/>
              </w:rPr>
              <w:t>ＭＳ８７</w:t>
            </w:r>
          </w:p>
        </w:tc>
        <w:tc>
          <w:tcPr>
            <w:tcW w:w="1081" w:type="dxa"/>
            <w:vAlign w:val="top"/>
          </w:tcPr>
          <w:p>
            <w:pPr>
              <w:spacing w:before="124" w:line="180" w:lineRule="auto"/>
              <w:ind w:firstLine="367"/>
              <w:rPr>
                <w:rFonts w:ascii="Microsoft JhengHei" w:hAnsi="Microsoft JhengHei" w:eastAsia="Microsoft JhengHei" w:cs="Microsoft JhengHei"/>
                <w:sz w:val="16"/>
                <w:szCs w:val="16"/>
              </w:rPr>
            </w:pPr>
            <w:r>
              <w:rPr>
                <w:rFonts w:ascii="Microsoft JhengHei" w:hAnsi="Microsoft JhengHei" w:eastAsia="Microsoft JhengHei" w:cs="Microsoft JhengHei"/>
                <w:spacing w:val="-54"/>
                <w:sz w:val="16"/>
                <w:szCs w:val="16"/>
              </w:rPr>
              <w:t>８７．０</w:t>
            </w:r>
          </w:p>
        </w:tc>
        <w:tc>
          <w:tcPr>
            <w:tcW w:w="1081" w:type="dxa"/>
            <w:vAlign w:val="top"/>
          </w:tcPr>
          <w:p>
            <w:pPr>
              <w:spacing w:before="125" w:line="180" w:lineRule="auto"/>
              <w:ind w:firstLine="415"/>
              <w:rPr>
                <w:rFonts w:ascii="Microsoft JhengHei" w:hAnsi="Microsoft JhengHei" w:eastAsia="Microsoft JhengHei" w:cs="Microsoft JhengHei"/>
                <w:sz w:val="16"/>
                <w:szCs w:val="16"/>
              </w:rPr>
            </w:pPr>
            <w:r>
              <w:rPr>
                <w:rFonts w:ascii="Microsoft JhengHei" w:hAnsi="Microsoft JhengHei" w:eastAsia="Microsoft JhengHei" w:cs="Microsoft JhengHei"/>
                <w:spacing w:val="-49"/>
                <w:sz w:val="16"/>
                <w:szCs w:val="16"/>
              </w:rPr>
              <w:t>７．０</w:t>
            </w:r>
          </w:p>
        </w:tc>
        <w:tc>
          <w:tcPr>
            <w:tcW w:w="1081" w:type="dxa"/>
            <w:vAlign w:val="top"/>
          </w:tcPr>
          <w:p>
            <w:pPr>
              <w:spacing w:before="124" w:line="180" w:lineRule="auto"/>
              <w:ind w:firstLine="416"/>
              <w:rPr>
                <w:rFonts w:ascii="Microsoft JhengHei" w:hAnsi="Microsoft JhengHei" w:eastAsia="Microsoft JhengHei" w:cs="Microsoft JhengHei"/>
                <w:sz w:val="16"/>
                <w:szCs w:val="16"/>
              </w:rPr>
            </w:pPr>
            <w:r>
              <w:rPr>
                <w:rFonts w:ascii="Microsoft JhengHei" w:hAnsi="Microsoft JhengHei" w:eastAsia="Microsoft JhengHei" w:cs="Microsoft JhengHei"/>
                <w:spacing w:val="-48"/>
                <w:sz w:val="16"/>
                <w:szCs w:val="16"/>
              </w:rPr>
              <w:t>２．０</w:t>
            </w:r>
          </w:p>
        </w:tc>
        <w:tc>
          <w:tcPr>
            <w:tcW w:w="1081" w:type="dxa"/>
            <w:vAlign w:val="top"/>
          </w:tcPr>
          <w:p>
            <w:pPr>
              <w:spacing w:before="125" w:line="180" w:lineRule="auto"/>
              <w:ind w:firstLine="371"/>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０．５０</w:t>
            </w:r>
          </w:p>
        </w:tc>
        <w:tc>
          <w:tcPr>
            <w:tcW w:w="1847" w:type="dxa"/>
            <w:vAlign w:val="top"/>
          </w:tcPr>
          <w:p>
            <w:pPr>
              <w:spacing w:before="183" w:line="131" w:lineRule="exact"/>
              <w:ind w:firstLine="841"/>
              <w:rPr>
                <w:rFonts w:ascii="Microsoft JhengHei" w:hAnsi="Microsoft JhengHei" w:eastAsia="Microsoft JhengHei" w:cs="Microsoft JhengHei"/>
                <w:sz w:val="16"/>
                <w:szCs w:val="16"/>
              </w:rPr>
            </w:pPr>
            <w:r>
              <w:rPr>
                <w:rFonts w:ascii="Microsoft JhengHei" w:hAnsi="Microsoft JhengHei" w:eastAsia="Microsoft JhengHei" w:cs="Microsoft JhengHei"/>
                <w:position w:val="1"/>
                <w:sz w:val="16"/>
                <w:szCs w:val="16"/>
              </w:rPr>
              <w:t>—</w:t>
            </w:r>
          </w:p>
        </w:tc>
        <w:tc>
          <w:tcPr>
            <w:tcW w:w="1856" w:type="dxa"/>
            <w:tcBorders>
              <w:right w:val="single" w:color="000000" w:sz="6" w:space="0"/>
            </w:tcBorders>
            <w:vAlign w:val="top"/>
          </w:tcPr>
          <w:p>
            <w:pPr>
              <w:spacing w:before="124" w:line="180" w:lineRule="auto"/>
              <w:ind w:firstLine="763"/>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３．２０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5" w:hRule="atLeast"/>
        </w:trPr>
        <w:tc>
          <w:tcPr>
            <w:tcW w:w="1178" w:type="dxa"/>
            <w:tcBorders>
              <w:left w:val="single" w:color="000000" w:sz="6" w:space="0"/>
            </w:tcBorders>
            <w:vAlign w:val="top"/>
          </w:tcPr>
          <w:p>
            <w:pPr>
              <w:spacing w:before="122" w:line="180" w:lineRule="auto"/>
              <w:ind w:firstLine="373"/>
              <w:rPr>
                <w:rFonts w:ascii="Microsoft JhengHei" w:hAnsi="Microsoft JhengHei" w:eastAsia="Microsoft JhengHei" w:cs="Microsoft JhengHei"/>
                <w:sz w:val="16"/>
                <w:szCs w:val="16"/>
              </w:rPr>
            </w:pPr>
            <w:r>
              <w:rPr>
                <w:rFonts w:ascii="Microsoft JhengHei" w:hAnsi="Microsoft JhengHei" w:eastAsia="Microsoft JhengHei" w:cs="Microsoft JhengHei"/>
                <w:spacing w:val="-40"/>
                <w:sz w:val="16"/>
                <w:szCs w:val="16"/>
              </w:rPr>
              <w:t>ＭＳ８４</w:t>
            </w:r>
          </w:p>
        </w:tc>
        <w:tc>
          <w:tcPr>
            <w:tcW w:w="1081" w:type="dxa"/>
            <w:vAlign w:val="top"/>
          </w:tcPr>
          <w:p>
            <w:pPr>
              <w:spacing w:before="125" w:line="180" w:lineRule="auto"/>
              <w:ind w:firstLine="367"/>
              <w:rPr>
                <w:rFonts w:ascii="Microsoft JhengHei" w:hAnsi="Microsoft JhengHei" w:eastAsia="Microsoft JhengHei" w:cs="Microsoft JhengHei"/>
                <w:sz w:val="16"/>
                <w:szCs w:val="16"/>
              </w:rPr>
            </w:pPr>
            <w:r>
              <w:rPr>
                <w:rFonts w:ascii="Microsoft JhengHei" w:hAnsi="Microsoft JhengHei" w:eastAsia="Microsoft JhengHei" w:cs="Microsoft JhengHei"/>
                <w:spacing w:val="-54"/>
                <w:sz w:val="16"/>
                <w:szCs w:val="16"/>
              </w:rPr>
              <w:t>８４．０</w:t>
            </w:r>
          </w:p>
        </w:tc>
        <w:tc>
          <w:tcPr>
            <w:tcW w:w="1081" w:type="dxa"/>
            <w:vAlign w:val="top"/>
          </w:tcPr>
          <w:p>
            <w:pPr>
              <w:spacing w:before="129" w:line="180" w:lineRule="auto"/>
              <w:ind w:firstLine="416"/>
              <w:rPr>
                <w:rFonts w:ascii="Microsoft JhengHei" w:hAnsi="Microsoft JhengHei" w:eastAsia="Microsoft JhengHei" w:cs="Microsoft JhengHei"/>
                <w:sz w:val="16"/>
                <w:szCs w:val="16"/>
              </w:rPr>
            </w:pPr>
            <w:r>
              <w:rPr>
                <w:rFonts w:ascii="Microsoft JhengHei" w:hAnsi="Microsoft JhengHei" w:eastAsia="Microsoft JhengHei" w:cs="Microsoft JhengHei"/>
                <w:spacing w:val="-49"/>
                <w:sz w:val="16"/>
                <w:szCs w:val="16"/>
              </w:rPr>
              <w:t>９．０</w:t>
            </w:r>
          </w:p>
        </w:tc>
        <w:tc>
          <w:tcPr>
            <w:tcW w:w="1081" w:type="dxa"/>
            <w:vAlign w:val="top"/>
          </w:tcPr>
          <w:p>
            <w:pPr>
              <w:spacing w:before="125" w:line="180" w:lineRule="auto"/>
              <w:ind w:firstLine="416"/>
              <w:rPr>
                <w:rFonts w:ascii="Microsoft JhengHei" w:hAnsi="Microsoft JhengHei" w:eastAsia="Microsoft JhengHei" w:cs="Microsoft JhengHei"/>
                <w:sz w:val="16"/>
                <w:szCs w:val="16"/>
              </w:rPr>
            </w:pPr>
            <w:r>
              <w:rPr>
                <w:rFonts w:ascii="Microsoft JhengHei" w:hAnsi="Microsoft JhengHei" w:eastAsia="Microsoft JhengHei" w:cs="Microsoft JhengHei"/>
                <w:spacing w:val="-48"/>
                <w:sz w:val="16"/>
                <w:szCs w:val="16"/>
              </w:rPr>
              <w:t>２．０</w:t>
            </w:r>
          </w:p>
        </w:tc>
        <w:tc>
          <w:tcPr>
            <w:tcW w:w="1081" w:type="dxa"/>
            <w:vAlign w:val="top"/>
          </w:tcPr>
          <w:p>
            <w:pPr>
              <w:spacing w:before="126" w:line="180" w:lineRule="auto"/>
              <w:ind w:firstLine="371"/>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０．５０</w:t>
            </w:r>
          </w:p>
        </w:tc>
        <w:tc>
          <w:tcPr>
            <w:tcW w:w="1847" w:type="dxa"/>
            <w:vAlign w:val="top"/>
          </w:tcPr>
          <w:p>
            <w:pPr>
              <w:spacing w:before="184" w:line="131" w:lineRule="exact"/>
              <w:ind w:firstLine="841"/>
              <w:rPr>
                <w:rFonts w:ascii="Microsoft JhengHei" w:hAnsi="Microsoft JhengHei" w:eastAsia="Microsoft JhengHei" w:cs="Microsoft JhengHei"/>
                <w:sz w:val="16"/>
                <w:szCs w:val="16"/>
              </w:rPr>
            </w:pPr>
            <w:r>
              <w:rPr>
                <w:rFonts w:ascii="Microsoft JhengHei" w:hAnsi="Microsoft JhengHei" w:eastAsia="Microsoft JhengHei" w:cs="Microsoft JhengHei"/>
                <w:position w:val="1"/>
                <w:sz w:val="16"/>
                <w:szCs w:val="16"/>
              </w:rPr>
              <w:t>—</w:t>
            </w:r>
          </w:p>
        </w:tc>
        <w:tc>
          <w:tcPr>
            <w:tcW w:w="1856" w:type="dxa"/>
            <w:tcBorders>
              <w:right w:val="single" w:color="000000" w:sz="6" w:space="0"/>
            </w:tcBorders>
            <w:vAlign w:val="top"/>
          </w:tcPr>
          <w:p>
            <w:pPr>
              <w:spacing w:before="125" w:line="180" w:lineRule="auto"/>
              <w:ind w:firstLine="763"/>
              <w:rPr>
                <w:rFonts w:ascii="Microsoft JhengHei" w:hAnsi="Microsoft JhengHei" w:eastAsia="Microsoft JhengHei" w:cs="Microsoft JhengHei"/>
                <w:sz w:val="16"/>
                <w:szCs w:val="16"/>
              </w:rPr>
            </w:pPr>
            <w:r>
              <w:rPr>
                <w:rFonts w:ascii="Microsoft JhengHei" w:hAnsi="Microsoft JhengHei" w:eastAsia="Microsoft JhengHei" w:cs="Microsoft JhengHei"/>
                <w:spacing w:val="-60"/>
                <w:sz w:val="16"/>
                <w:szCs w:val="16"/>
              </w:rPr>
              <w:t>３．２０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3" w:hRule="atLeast"/>
        </w:trPr>
        <w:tc>
          <w:tcPr>
            <w:tcW w:w="1178" w:type="dxa"/>
            <w:tcBorders>
              <w:left w:val="single" w:color="000000" w:sz="6" w:space="0"/>
              <w:bottom w:val="single" w:color="000000" w:sz="6" w:space="0"/>
            </w:tcBorders>
            <w:vAlign w:val="top"/>
          </w:tcPr>
          <w:p>
            <w:pPr>
              <w:spacing w:before="123" w:line="180" w:lineRule="auto"/>
              <w:ind w:firstLine="373"/>
              <w:rPr>
                <w:rFonts w:ascii="Microsoft JhengHei" w:hAnsi="Microsoft JhengHei" w:eastAsia="Microsoft JhengHei" w:cs="Microsoft JhengHei"/>
                <w:sz w:val="16"/>
                <w:szCs w:val="16"/>
              </w:rPr>
            </w:pPr>
            <w:r>
              <w:rPr>
                <w:rFonts w:ascii="Microsoft JhengHei" w:hAnsi="Microsoft JhengHei" w:eastAsia="Microsoft JhengHei" w:cs="Microsoft JhengHei"/>
                <w:spacing w:val="-40"/>
                <w:sz w:val="16"/>
                <w:szCs w:val="16"/>
              </w:rPr>
              <w:t>ＭＳ８３</w:t>
            </w:r>
          </w:p>
        </w:tc>
        <w:tc>
          <w:tcPr>
            <w:tcW w:w="1081" w:type="dxa"/>
            <w:tcBorders>
              <w:bottom w:val="single" w:color="000000" w:sz="6" w:space="0"/>
            </w:tcBorders>
            <w:vAlign w:val="top"/>
          </w:tcPr>
          <w:p>
            <w:pPr>
              <w:spacing w:before="126" w:line="180" w:lineRule="auto"/>
              <w:ind w:firstLine="367"/>
              <w:rPr>
                <w:rFonts w:ascii="Microsoft JhengHei" w:hAnsi="Microsoft JhengHei" w:eastAsia="Microsoft JhengHei" w:cs="Microsoft JhengHei"/>
                <w:sz w:val="16"/>
                <w:szCs w:val="16"/>
              </w:rPr>
            </w:pPr>
            <w:r>
              <w:rPr>
                <w:rFonts w:ascii="Microsoft JhengHei" w:hAnsi="Microsoft JhengHei" w:eastAsia="Microsoft JhengHei" w:cs="Microsoft JhengHei"/>
                <w:spacing w:val="-54"/>
                <w:sz w:val="16"/>
                <w:szCs w:val="16"/>
              </w:rPr>
              <w:t>８３．０</w:t>
            </w:r>
          </w:p>
        </w:tc>
        <w:tc>
          <w:tcPr>
            <w:tcW w:w="1081" w:type="dxa"/>
            <w:tcBorders>
              <w:bottom w:val="single" w:color="000000" w:sz="6" w:space="0"/>
            </w:tcBorders>
            <w:vAlign w:val="top"/>
          </w:tcPr>
          <w:p>
            <w:pPr>
              <w:spacing w:before="127" w:line="180" w:lineRule="auto"/>
              <w:ind w:firstLine="415"/>
              <w:rPr>
                <w:rFonts w:ascii="Microsoft JhengHei" w:hAnsi="Microsoft JhengHei" w:eastAsia="Microsoft JhengHei" w:cs="Microsoft JhengHei"/>
                <w:sz w:val="16"/>
                <w:szCs w:val="16"/>
              </w:rPr>
            </w:pPr>
            <w:r>
              <w:rPr>
                <w:rFonts w:ascii="Microsoft JhengHei" w:hAnsi="Microsoft JhengHei" w:eastAsia="Microsoft JhengHei" w:cs="Microsoft JhengHei"/>
                <w:spacing w:val="-49"/>
                <w:sz w:val="16"/>
                <w:szCs w:val="16"/>
              </w:rPr>
              <w:t>５．０</w:t>
            </w:r>
          </w:p>
        </w:tc>
        <w:tc>
          <w:tcPr>
            <w:tcW w:w="1081" w:type="dxa"/>
            <w:tcBorders>
              <w:bottom w:val="single" w:color="000000" w:sz="6" w:space="0"/>
            </w:tcBorders>
            <w:vAlign w:val="top"/>
          </w:tcPr>
          <w:p>
            <w:pPr>
              <w:spacing w:before="127" w:line="180" w:lineRule="auto"/>
              <w:ind w:firstLine="417"/>
              <w:rPr>
                <w:rFonts w:ascii="Microsoft JhengHei" w:hAnsi="Microsoft JhengHei" w:eastAsia="Microsoft JhengHei" w:cs="Microsoft JhengHei"/>
                <w:sz w:val="16"/>
                <w:szCs w:val="16"/>
              </w:rPr>
            </w:pPr>
            <w:r>
              <w:rPr>
                <w:rFonts w:ascii="Microsoft JhengHei" w:hAnsi="Microsoft JhengHei" w:eastAsia="Microsoft JhengHei" w:cs="Microsoft JhengHei"/>
                <w:spacing w:val="-49"/>
                <w:sz w:val="16"/>
                <w:szCs w:val="16"/>
              </w:rPr>
              <w:t>５．０</w:t>
            </w:r>
          </w:p>
        </w:tc>
        <w:tc>
          <w:tcPr>
            <w:tcW w:w="1081" w:type="dxa"/>
            <w:tcBorders>
              <w:bottom w:val="single" w:color="000000" w:sz="6" w:space="0"/>
            </w:tcBorders>
            <w:vAlign w:val="top"/>
          </w:tcPr>
          <w:p>
            <w:pPr>
              <w:spacing w:before="126" w:line="180" w:lineRule="auto"/>
              <w:ind w:firstLine="371"/>
              <w:rPr>
                <w:rFonts w:ascii="Microsoft JhengHei" w:hAnsi="Microsoft JhengHei" w:eastAsia="Microsoft JhengHei" w:cs="Microsoft JhengHei"/>
                <w:sz w:val="16"/>
                <w:szCs w:val="16"/>
              </w:rPr>
            </w:pPr>
            <w:r>
              <w:rPr>
                <w:rFonts w:ascii="Microsoft JhengHei" w:hAnsi="Microsoft JhengHei" w:eastAsia="Microsoft JhengHei" w:cs="Microsoft JhengHei"/>
                <w:spacing w:val="-59"/>
                <w:sz w:val="16"/>
                <w:szCs w:val="16"/>
              </w:rPr>
              <w:t>０．８０</w:t>
            </w:r>
          </w:p>
        </w:tc>
        <w:tc>
          <w:tcPr>
            <w:tcW w:w="1847" w:type="dxa"/>
            <w:tcBorders>
              <w:bottom w:val="single" w:color="000000" w:sz="6" w:space="0"/>
            </w:tcBorders>
            <w:vAlign w:val="top"/>
          </w:tcPr>
          <w:p>
            <w:pPr>
              <w:spacing w:before="185" w:line="131" w:lineRule="exact"/>
              <w:ind w:firstLine="841"/>
              <w:rPr>
                <w:rFonts w:ascii="Microsoft JhengHei" w:hAnsi="Microsoft JhengHei" w:eastAsia="Microsoft JhengHei" w:cs="Microsoft JhengHei"/>
                <w:sz w:val="16"/>
                <w:szCs w:val="16"/>
              </w:rPr>
            </w:pPr>
            <w:r>
              <w:rPr>
                <w:rFonts w:ascii="Microsoft JhengHei" w:hAnsi="Microsoft JhengHei" w:eastAsia="Microsoft JhengHei" w:cs="Microsoft JhengHei"/>
                <w:position w:val="1"/>
                <w:sz w:val="16"/>
                <w:szCs w:val="16"/>
              </w:rPr>
              <w:t>—</w:t>
            </w:r>
          </w:p>
        </w:tc>
        <w:tc>
          <w:tcPr>
            <w:tcW w:w="1856" w:type="dxa"/>
            <w:tcBorders>
              <w:bottom w:val="single" w:color="000000" w:sz="6" w:space="0"/>
              <w:right w:val="single" w:color="000000" w:sz="6" w:space="0"/>
            </w:tcBorders>
            <w:vAlign w:val="top"/>
          </w:tcPr>
          <w:p>
            <w:pPr>
              <w:spacing w:before="185" w:line="131" w:lineRule="exact"/>
              <w:ind w:firstLine="844"/>
              <w:rPr>
                <w:rFonts w:ascii="Microsoft JhengHei" w:hAnsi="Microsoft JhengHei" w:eastAsia="Microsoft JhengHei" w:cs="Microsoft JhengHei"/>
                <w:sz w:val="16"/>
                <w:szCs w:val="16"/>
              </w:rPr>
            </w:pPr>
            <w:r>
              <w:rPr>
                <w:rFonts w:ascii="Microsoft JhengHei" w:hAnsi="Microsoft JhengHei" w:eastAsia="Microsoft JhengHei" w:cs="Microsoft JhengHei"/>
                <w:position w:val="1"/>
                <w:sz w:val="16"/>
                <w:szCs w:val="16"/>
              </w:rPr>
              <w:t>—</w:t>
            </w:r>
          </w:p>
        </w:tc>
      </w:tr>
    </w:tbl>
    <w:p>
      <w:pPr>
        <w:spacing w:before="284" w:line="180" w:lineRule="auto"/>
        <w:ind w:firstLine="1023"/>
        <w:rPr>
          <w:rFonts w:ascii="Microsoft JhengHei" w:hAnsi="Microsoft JhengHei" w:eastAsia="Microsoft JhengHei" w:cs="Microsoft JhengHei"/>
          <w:sz w:val="19"/>
          <w:szCs w:val="19"/>
        </w:rPr>
      </w:pPr>
      <w:r>
        <w:rPr>
          <w:rFonts w:ascii="Microsoft JhengHei" w:hAnsi="Microsoft JhengHei" w:eastAsia="Microsoft JhengHei" w:cs="Microsoft JhengHei"/>
          <w:spacing w:val="-11"/>
          <w:position w:val="-2"/>
          <w:sz w:val="19"/>
          <w:szCs w:val="19"/>
        </w:rPr>
        <w:t>６</w:t>
      </w:r>
      <w:r>
        <w:rPr>
          <w:rFonts w:ascii="Microsoft JhengHei" w:hAnsi="Microsoft JhengHei" w:eastAsia="Microsoft JhengHei" w:cs="Microsoft JhengHei"/>
          <w:spacing w:val="12"/>
          <w:w w:val="101"/>
          <w:position w:val="-2"/>
          <w:sz w:val="19"/>
          <w:szCs w:val="19"/>
        </w:rPr>
        <w:t xml:space="preserve">    </w:t>
      </w:r>
      <w:r>
        <w:rPr>
          <w:rFonts w:ascii="Microsoft JhengHei" w:hAnsi="Microsoft JhengHei" w:eastAsia="Microsoft JhengHei" w:cs="Microsoft JhengHei"/>
          <w:spacing w:val="-11"/>
          <w:sz w:val="19"/>
          <w:szCs w:val="19"/>
        </w:rPr>
        <w:t>试验方法</w:t>
      </w:r>
    </w:p>
    <w:p>
      <w:pPr>
        <w:spacing w:line="180" w:lineRule="exact"/>
      </w:pPr>
    </w:p>
    <w:p>
      <w:pPr>
        <w:sectPr>
          <w:footerReference r:id="rId3" w:type="default"/>
          <w:pgSz w:w="11906" w:h="16838"/>
          <w:pgMar w:top="1249" w:right="1349" w:bottom="1450" w:left="328" w:header="0" w:footer="1312" w:gutter="0"/>
          <w:cols w:equalWidth="0" w:num="1">
            <w:col w:w="10229"/>
          </w:cols>
        </w:sectPr>
      </w:pPr>
    </w:p>
    <w:p>
      <w:pPr>
        <w:spacing w:before="53" w:line="180" w:lineRule="auto"/>
        <w:ind w:firstLine="1023"/>
        <w:rPr>
          <w:rFonts w:ascii="Microsoft JhengHei" w:hAnsi="Microsoft JhengHei" w:eastAsia="Microsoft JhengHei" w:cs="Microsoft JhengHei"/>
          <w:sz w:val="19"/>
          <w:szCs w:val="19"/>
        </w:rPr>
      </w:pPr>
      <w:r>
        <w:rPr>
          <w:rFonts w:ascii="Microsoft JhengHei" w:hAnsi="Microsoft JhengHei" w:eastAsia="Microsoft JhengHei" w:cs="Microsoft JhengHei"/>
          <w:spacing w:val="-71"/>
          <w:w w:val="83"/>
          <w:position w:val="-2"/>
          <w:sz w:val="19"/>
          <w:szCs w:val="19"/>
        </w:rPr>
        <w:t>６．</w:t>
      </w:r>
      <w:r>
        <w:rPr>
          <w:rFonts w:ascii="Microsoft JhengHei" w:hAnsi="Microsoft JhengHei" w:eastAsia="Microsoft JhengHei" w:cs="Microsoft JhengHei"/>
          <w:spacing w:val="-38"/>
          <w:position w:val="-2"/>
          <w:sz w:val="19"/>
          <w:szCs w:val="19"/>
        </w:rPr>
        <w:t xml:space="preserve"> </w:t>
      </w:r>
      <w:r>
        <w:rPr>
          <w:rFonts w:ascii="Microsoft JhengHei" w:hAnsi="Microsoft JhengHei" w:eastAsia="Microsoft JhengHei" w:cs="Microsoft JhengHei"/>
          <w:spacing w:val="-71"/>
          <w:w w:val="83"/>
          <w:position w:val="-2"/>
          <w:sz w:val="19"/>
          <w:szCs w:val="19"/>
        </w:rPr>
        <w:t>１</w:t>
      </w:r>
    </w:p>
    <w:p>
      <w:pPr>
        <w:spacing w:before="77" w:line="180" w:lineRule="auto"/>
        <w:ind w:firstLine="1023"/>
        <w:rPr>
          <w:rFonts w:ascii="Microsoft JhengHei" w:hAnsi="Microsoft JhengHei" w:eastAsia="Microsoft JhengHei" w:cs="Microsoft JhengHei"/>
          <w:sz w:val="19"/>
          <w:szCs w:val="19"/>
        </w:rPr>
      </w:pPr>
      <w:r>
        <w:rPr>
          <w:rFonts w:ascii="Microsoft JhengHei" w:hAnsi="Microsoft JhengHei" w:eastAsia="Microsoft JhengHei" w:cs="Microsoft JhengHei"/>
          <w:spacing w:val="-58"/>
          <w:position w:val="-2"/>
          <w:sz w:val="19"/>
          <w:szCs w:val="19"/>
        </w:rPr>
        <w:t>６．２</w:t>
      </w:r>
    </w:p>
    <w:p>
      <w:pPr>
        <w:spacing w:before="80" w:line="180" w:lineRule="auto"/>
        <w:ind w:firstLine="1023"/>
        <w:rPr>
          <w:rFonts w:ascii="Microsoft JhengHei" w:hAnsi="Microsoft JhengHei" w:eastAsia="Microsoft JhengHei" w:cs="Microsoft JhengHei"/>
          <w:sz w:val="19"/>
          <w:szCs w:val="19"/>
        </w:rPr>
      </w:pPr>
      <w:r>
        <w:rPr>
          <w:rFonts w:ascii="Microsoft JhengHei" w:hAnsi="Microsoft JhengHei" w:eastAsia="Microsoft JhengHei" w:cs="Microsoft JhengHei"/>
          <w:spacing w:val="-57"/>
          <w:position w:val="-1"/>
          <w:sz w:val="19"/>
          <w:szCs w:val="19"/>
        </w:rPr>
        <w:t>６．３</w:t>
      </w:r>
    </w:p>
    <w:p>
      <w:pPr>
        <w:spacing w:before="78" w:line="180" w:lineRule="auto"/>
        <w:ind w:firstLine="1023"/>
        <w:rPr>
          <w:rFonts w:ascii="Microsoft JhengHei" w:hAnsi="Microsoft JhengHei" w:eastAsia="Microsoft JhengHei" w:cs="Microsoft JhengHei"/>
          <w:sz w:val="19"/>
          <w:szCs w:val="19"/>
        </w:rPr>
      </w:pPr>
      <w:r>
        <w:rPr>
          <w:rFonts w:ascii="Microsoft JhengHei" w:hAnsi="Microsoft JhengHei" w:eastAsia="Microsoft JhengHei" w:cs="Microsoft JhengHei"/>
          <w:spacing w:val="-57"/>
          <w:position w:val="-2"/>
          <w:sz w:val="19"/>
          <w:szCs w:val="19"/>
        </w:rPr>
        <w:t>６．４</w:t>
      </w:r>
    </w:p>
    <w:p>
      <w:pPr>
        <w:spacing w:before="79" w:line="213" w:lineRule="exact"/>
        <w:ind w:firstLine="1023"/>
        <w:rPr>
          <w:rFonts w:ascii="Microsoft JhengHei" w:hAnsi="Microsoft JhengHei" w:eastAsia="Microsoft JhengHei" w:cs="Microsoft JhengHei"/>
          <w:sz w:val="19"/>
          <w:szCs w:val="19"/>
        </w:rPr>
      </w:pPr>
      <w:r>
        <w:rPr>
          <w:rFonts w:ascii="Microsoft JhengHei" w:hAnsi="Microsoft JhengHei" w:eastAsia="Microsoft JhengHei" w:cs="Microsoft JhengHei"/>
          <w:spacing w:val="-58"/>
          <w:sz w:val="19"/>
          <w:szCs w:val="19"/>
        </w:rPr>
        <w:t>６．５</w:t>
      </w:r>
    </w:p>
    <w:p>
      <w:pPr>
        <w:spacing w:line="14" w:lineRule="auto"/>
        <w:rPr>
          <w:rFonts w:ascii="Arial"/>
          <w:sz w:val="2"/>
        </w:rPr>
      </w:pPr>
      <w:r>
        <w:rPr>
          <w:rFonts w:ascii="Arial" w:hAnsi="Arial" w:eastAsia="Arial" w:cs="Arial"/>
          <w:sz w:val="2"/>
          <w:szCs w:val="2"/>
        </w:rPr>
        <w:br w:type="column"/>
      </w:r>
    </w:p>
    <w:p>
      <w:pPr>
        <w:spacing w:before="38" w:line="180" w:lineRule="auto"/>
        <w:ind w:firstLine="114"/>
        <w:rPr>
          <w:rFonts w:ascii="Microsoft JhengHei" w:hAnsi="Microsoft JhengHei" w:eastAsia="Microsoft JhengHei" w:cs="Microsoft JhengHei"/>
          <w:sz w:val="19"/>
          <w:szCs w:val="19"/>
        </w:rPr>
      </w:pPr>
      <w:r>
        <w:rPr>
          <w:rFonts w:ascii="Microsoft JhengHei" w:hAnsi="Microsoft JhengHei" w:eastAsia="Microsoft JhengHei" w:cs="Microsoft JhengHei"/>
          <w:spacing w:val="15"/>
          <w:sz w:val="19"/>
          <w:szCs w:val="19"/>
        </w:rPr>
        <w:t>烧结镁砂的化学成分分析按</w:t>
      </w:r>
      <w:r>
        <w:rPr>
          <w:rFonts w:ascii="Microsoft JhengHei" w:hAnsi="Microsoft JhengHei" w:eastAsia="Microsoft JhengHei" w:cs="Microsoft JhengHei"/>
          <w:spacing w:val="29"/>
          <w:w w:val="101"/>
          <w:sz w:val="19"/>
          <w:szCs w:val="19"/>
        </w:rPr>
        <w:t xml:space="preserve"> </w:t>
      </w:r>
      <w:r>
        <w:rPr>
          <w:rFonts w:ascii="Microsoft JhengHei" w:hAnsi="Microsoft JhengHei" w:eastAsia="Microsoft JhengHei" w:cs="Microsoft JhengHei"/>
          <w:spacing w:val="-75"/>
          <w:position w:val="-1"/>
          <w:sz w:val="19"/>
          <w:szCs w:val="19"/>
        </w:rPr>
        <w:t>ＧＢ／Ｔ</w:t>
      </w:r>
      <w:r>
        <w:rPr>
          <w:rFonts w:ascii="Microsoft JhengHei" w:hAnsi="Microsoft JhengHei" w:eastAsia="Microsoft JhengHei" w:cs="Microsoft JhengHei"/>
          <w:spacing w:val="41"/>
          <w:w w:val="101"/>
          <w:position w:val="-1"/>
          <w:sz w:val="19"/>
          <w:szCs w:val="19"/>
        </w:rPr>
        <w:t xml:space="preserve"> </w:t>
      </w:r>
      <w:r>
        <w:rPr>
          <w:rFonts w:ascii="Microsoft JhengHei" w:hAnsi="Microsoft JhengHei" w:eastAsia="Microsoft JhengHei" w:cs="Microsoft JhengHei"/>
          <w:spacing w:val="-75"/>
          <w:position w:val="-2"/>
          <w:sz w:val="19"/>
          <w:szCs w:val="19"/>
        </w:rPr>
        <w:t>５０６９</w:t>
      </w:r>
      <w:r>
        <w:rPr>
          <w:rFonts w:ascii="Microsoft JhengHei" w:hAnsi="Microsoft JhengHei" w:eastAsia="Microsoft JhengHei" w:cs="Microsoft JhengHei"/>
          <w:spacing w:val="33"/>
          <w:w w:val="101"/>
          <w:position w:val="-2"/>
          <w:sz w:val="19"/>
          <w:szCs w:val="19"/>
        </w:rPr>
        <w:t xml:space="preserve"> </w:t>
      </w:r>
      <w:r>
        <w:rPr>
          <w:rFonts w:ascii="Microsoft JhengHei" w:hAnsi="Microsoft JhengHei" w:eastAsia="Microsoft JhengHei" w:cs="Microsoft JhengHei"/>
          <w:spacing w:val="15"/>
          <w:sz w:val="19"/>
          <w:szCs w:val="19"/>
        </w:rPr>
        <w:t>进行。</w:t>
      </w:r>
    </w:p>
    <w:p>
      <w:pPr>
        <w:spacing w:before="52" w:line="180" w:lineRule="auto"/>
        <w:ind w:firstLine="114"/>
        <w:rPr>
          <w:rFonts w:ascii="Microsoft JhengHei" w:hAnsi="Microsoft JhengHei" w:eastAsia="Microsoft JhengHei" w:cs="Microsoft JhengHei"/>
          <w:sz w:val="19"/>
          <w:szCs w:val="19"/>
        </w:rPr>
      </w:pPr>
      <w:r>
        <w:rPr>
          <w:rFonts w:ascii="Microsoft JhengHei" w:hAnsi="Microsoft JhengHei" w:eastAsia="Microsoft JhengHei" w:cs="Microsoft JhengHei"/>
          <w:spacing w:val="16"/>
          <w:sz w:val="19"/>
          <w:szCs w:val="19"/>
        </w:rPr>
        <w:t>烧结镁砂颗粒体积密度的测定按</w:t>
      </w:r>
      <w:r>
        <w:rPr>
          <w:rFonts w:ascii="Microsoft JhengHei" w:hAnsi="Microsoft JhengHei" w:eastAsia="Microsoft JhengHei" w:cs="Microsoft JhengHei"/>
          <w:spacing w:val="32"/>
          <w:sz w:val="19"/>
          <w:szCs w:val="19"/>
        </w:rPr>
        <w:t xml:space="preserve"> </w:t>
      </w:r>
      <w:r>
        <w:rPr>
          <w:rFonts w:ascii="Microsoft JhengHei" w:hAnsi="Microsoft JhengHei" w:eastAsia="Microsoft JhengHei" w:cs="Microsoft JhengHei"/>
          <w:spacing w:val="-76"/>
          <w:position w:val="-1"/>
          <w:sz w:val="19"/>
          <w:szCs w:val="19"/>
        </w:rPr>
        <w:t>ＧＢ／Ｔ</w:t>
      </w:r>
      <w:r>
        <w:rPr>
          <w:rFonts w:ascii="Microsoft JhengHei" w:hAnsi="Microsoft JhengHei" w:eastAsia="Microsoft JhengHei" w:cs="Microsoft JhengHei"/>
          <w:spacing w:val="39"/>
          <w:position w:val="-1"/>
          <w:sz w:val="19"/>
          <w:szCs w:val="19"/>
        </w:rPr>
        <w:t xml:space="preserve"> </w:t>
      </w:r>
      <w:r>
        <w:rPr>
          <w:rFonts w:ascii="Microsoft JhengHei" w:hAnsi="Microsoft JhengHei" w:eastAsia="Microsoft JhengHei" w:cs="Microsoft JhengHei"/>
          <w:spacing w:val="-76"/>
          <w:position w:val="-2"/>
          <w:sz w:val="19"/>
          <w:szCs w:val="19"/>
        </w:rPr>
        <w:t>２９９９</w:t>
      </w:r>
      <w:r>
        <w:rPr>
          <w:rFonts w:ascii="Microsoft JhengHei" w:hAnsi="Microsoft JhengHei" w:eastAsia="Microsoft JhengHei" w:cs="Microsoft JhengHei"/>
          <w:spacing w:val="34"/>
          <w:position w:val="-2"/>
          <w:sz w:val="19"/>
          <w:szCs w:val="19"/>
        </w:rPr>
        <w:t xml:space="preserve"> </w:t>
      </w:r>
      <w:r>
        <w:rPr>
          <w:rFonts w:ascii="Microsoft JhengHei" w:hAnsi="Microsoft JhengHei" w:eastAsia="Microsoft JhengHei" w:cs="Microsoft JhengHei"/>
          <w:spacing w:val="16"/>
          <w:sz w:val="19"/>
          <w:szCs w:val="19"/>
        </w:rPr>
        <w:t>进行。</w:t>
      </w:r>
    </w:p>
    <w:p>
      <w:pPr>
        <w:spacing w:before="65" w:line="180" w:lineRule="auto"/>
        <w:ind w:firstLine="114"/>
        <w:rPr>
          <w:rFonts w:ascii="Microsoft JhengHei" w:hAnsi="Microsoft JhengHei" w:eastAsia="Microsoft JhengHei" w:cs="Microsoft JhengHei"/>
          <w:sz w:val="19"/>
          <w:szCs w:val="19"/>
        </w:rPr>
      </w:pPr>
      <w:r>
        <w:rPr>
          <w:rFonts w:ascii="Microsoft JhengHei" w:hAnsi="Microsoft JhengHei" w:eastAsia="Microsoft JhengHei" w:cs="Microsoft JhengHei"/>
          <w:spacing w:val="15"/>
          <w:position w:val="1"/>
          <w:sz w:val="19"/>
          <w:szCs w:val="19"/>
        </w:rPr>
        <w:t>烧结镁砂粒度的测定按</w:t>
      </w:r>
      <w:r>
        <w:rPr>
          <w:rFonts w:ascii="Microsoft JhengHei" w:hAnsi="Microsoft JhengHei" w:eastAsia="Microsoft JhengHei" w:cs="Microsoft JhengHei"/>
          <w:spacing w:val="33"/>
          <w:position w:val="1"/>
          <w:sz w:val="19"/>
          <w:szCs w:val="19"/>
        </w:rPr>
        <w:t xml:space="preserve"> </w:t>
      </w:r>
      <w:r>
        <w:rPr>
          <w:rFonts w:ascii="Microsoft JhengHei" w:hAnsi="Microsoft JhengHei" w:eastAsia="Microsoft JhengHei" w:cs="Microsoft JhengHei"/>
          <w:spacing w:val="-78"/>
          <w:sz w:val="19"/>
          <w:szCs w:val="19"/>
        </w:rPr>
        <w:t>ＧＢ／Ｔ</w:t>
      </w:r>
      <w:r>
        <w:rPr>
          <w:rFonts w:ascii="Microsoft JhengHei" w:hAnsi="Microsoft JhengHei" w:eastAsia="Microsoft JhengHei" w:cs="Microsoft JhengHei"/>
          <w:spacing w:val="39"/>
          <w:w w:val="101"/>
          <w:sz w:val="19"/>
          <w:szCs w:val="19"/>
        </w:rPr>
        <w:t xml:space="preserve"> </w:t>
      </w:r>
      <w:r>
        <w:rPr>
          <w:rFonts w:ascii="Microsoft JhengHei" w:hAnsi="Microsoft JhengHei" w:eastAsia="Microsoft JhengHei" w:cs="Microsoft JhengHei"/>
          <w:spacing w:val="-78"/>
          <w:position w:val="-1"/>
          <w:sz w:val="19"/>
          <w:szCs w:val="19"/>
        </w:rPr>
        <w:t>２００７．７</w:t>
      </w:r>
      <w:r>
        <w:rPr>
          <w:rFonts w:ascii="Microsoft JhengHei" w:hAnsi="Microsoft JhengHei" w:eastAsia="Microsoft JhengHei" w:cs="Microsoft JhengHei"/>
          <w:spacing w:val="32"/>
          <w:w w:val="101"/>
          <w:position w:val="-1"/>
          <w:sz w:val="19"/>
          <w:szCs w:val="19"/>
        </w:rPr>
        <w:t xml:space="preserve"> </w:t>
      </w:r>
      <w:r>
        <w:rPr>
          <w:rFonts w:ascii="Microsoft JhengHei" w:hAnsi="Microsoft JhengHei" w:eastAsia="Microsoft JhengHei" w:cs="Microsoft JhengHei"/>
          <w:spacing w:val="15"/>
          <w:position w:val="1"/>
          <w:sz w:val="19"/>
          <w:szCs w:val="19"/>
        </w:rPr>
        <w:t>进行。</w:t>
      </w:r>
    </w:p>
    <w:p>
      <w:pPr>
        <w:spacing w:before="67" w:line="180" w:lineRule="auto"/>
        <w:ind w:firstLine="114"/>
        <w:rPr>
          <w:rFonts w:ascii="Microsoft JhengHei" w:hAnsi="Microsoft JhengHei" w:eastAsia="Microsoft JhengHei" w:cs="Microsoft JhengHei"/>
          <w:sz w:val="19"/>
          <w:szCs w:val="19"/>
        </w:rPr>
      </w:pPr>
      <w:r>
        <w:rPr>
          <w:rFonts w:ascii="Microsoft JhengHei" w:hAnsi="Microsoft JhengHei" w:eastAsia="Microsoft JhengHei" w:cs="Microsoft JhengHei"/>
          <w:spacing w:val="14"/>
          <w:sz w:val="19"/>
          <w:szCs w:val="19"/>
        </w:rPr>
        <w:t>烧结镁砂外观质量以</w:t>
      </w:r>
      <w:r>
        <w:rPr>
          <w:rFonts w:ascii="Microsoft JhengHei" w:hAnsi="Microsoft JhengHei" w:eastAsia="Microsoft JhengHei" w:cs="Microsoft JhengHei"/>
          <w:spacing w:val="23"/>
          <w:w w:val="101"/>
          <w:sz w:val="19"/>
          <w:szCs w:val="19"/>
        </w:rPr>
        <w:t xml:space="preserve"> </w:t>
      </w:r>
      <w:r>
        <w:rPr>
          <w:rFonts w:ascii="Microsoft JhengHei" w:hAnsi="Microsoft JhengHei" w:eastAsia="Microsoft JhengHei" w:cs="Microsoft JhengHei"/>
          <w:spacing w:val="14"/>
          <w:sz w:val="19"/>
          <w:szCs w:val="19"/>
        </w:rPr>
        <w:t>目测的方法进行检测。</w:t>
      </w:r>
    </w:p>
    <w:p>
      <w:pPr>
        <w:spacing w:before="72" w:line="164" w:lineRule="auto"/>
        <w:ind w:firstLine="114"/>
        <w:rPr>
          <w:rFonts w:ascii="Microsoft JhengHei" w:hAnsi="Microsoft JhengHei" w:eastAsia="Microsoft JhengHei" w:cs="Microsoft JhengHei"/>
          <w:sz w:val="19"/>
          <w:szCs w:val="19"/>
        </w:rPr>
      </w:pPr>
      <w:r>
        <w:rPr>
          <w:rFonts w:ascii="Microsoft JhengHei" w:hAnsi="Microsoft JhengHei" w:eastAsia="Microsoft JhengHei" w:cs="Microsoft JhengHei"/>
          <w:spacing w:val="11"/>
          <w:sz w:val="19"/>
          <w:szCs w:val="19"/>
        </w:rPr>
        <w:t>烧结镁砂欠烧品和杂质含量按下式计算，以质量分数计，用％表示：</w:t>
      </w:r>
    </w:p>
    <w:p>
      <w:pPr>
        <w:sectPr>
          <w:type w:val="continuous"/>
          <w:pgSz w:w="11906" w:h="16838"/>
          <w:pgMar w:top="1249" w:right="1349" w:bottom="1450" w:left="328" w:header="0" w:footer="1312" w:gutter="0"/>
          <w:cols w:equalWidth="0" w:num="2">
            <w:col w:w="1431" w:space="0"/>
            <w:col w:w="8798"/>
          </w:cols>
        </w:sectPr>
      </w:pPr>
    </w:p>
    <w:p>
      <w:pPr>
        <w:spacing w:before="206" w:line="180" w:lineRule="auto"/>
        <w:ind w:firstLine="1931"/>
        <w:rPr>
          <w:rFonts w:ascii="Microsoft JhengHei" w:hAnsi="Microsoft JhengHei" w:eastAsia="Microsoft JhengHei" w:cs="Microsoft JhengHei"/>
          <w:sz w:val="19"/>
          <w:szCs w:val="19"/>
        </w:rPr>
      </w:pPr>
      <w:r>
        <w:rPr>
          <w:rFonts w:ascii="Microsoft JhengHei" w:hAnsi="Microsoft JhengHei" w:eastAsia="Microsoft JhengHei" w:cs="Microsoft JhengHei"/>
          <w:spacing w:val="15"/>
          <w:w w:val="101"/>
          <w:position w:val="3"/>
          <w:sz w:val="19"/>
          <w:szCs w:val="19"/>
        </w:rPr>
        <w:t>欠烧品和杂质含量</w:t>
      </w:r>
      <w:r>
        <w:rPr>
          <w:rFonts w:ascii="Microsoft JhengHei" w:hAnsi="Microsoft JhengHei" w:eastAsia="Microsoft JhengHei" w:cs="Microsoft JhengHei"/>
          <w:spacing w:val="-55"/>
          <w:position w:val="3"/>
          <w:sz w:val="19"/>
          <w:szCs w:val="19"/>
        </w:rPr>
        <w:t>（</w:t>
      </w:r>
      <w:r>
        <w:rPr>
          <w:rFonts w:ascii="Microsoft JhengHei" w:hAnsi="Microsoft JhengHei" w:eastAsia="Microsoft JhengHei" w:cs="Microsoft JhengHei"/>
          <w:spacing w:val="-15"/>
          <w:position w:val="3"/>
          <w:sz w:val="19"/>
          <w:szCs w:val="19"/>
        </w:rPr>
        <w:t xml:space="preserve"> </w:t>
      </w:r>
      <w:r>
        <w:rPr>
          <w:rFonts w:ascii="Microsoft JhengHei" w:hAnsi="Microsoft JhengHei" w:eastAsia="Microsoft JhengHei" w:cs="Microsoft JhengHei"/>
          <w:spacing w:val="-55"/>
          <w:position w:val="3"/>
          <w:sz w:val="19"/>
          <w:szCs w:val="19"/>
        </w:rPr>
        <w:t>％）</w:t>
      </w:r>
      <w:r>
        <w:rPr>
          <w:rFonts w:ascii="Microsoft JhengHei" w:hAnsi="Microsoft JhengHei" w:eastAsia="Microsoft JhengHei" w:cs="Microsoft JhengHei"/>
          <w:spacing w:val="1"/>
          <w:position w:val="3"/>
          <w:sz w:val="19"/>
          <w:szCs w:val="19"/>
        </w:rPr>
        <w:t xml:space="preserve">  </w:t>
      </w:r>
      <w:r>
        <w:rPr>
          <w:rFonts w:ascii="Microsoft JhengHei" w:hAnsi="Microsoft JhengHei" w:eastAsia="Microsoft JhengHei" w:cs="Microsoft JhengHei"/>
          <w:spacing w:val="-55"/>
          <w:sz w:val="19"/>
          <w:szCs w:val="19"/>
        </w:rPr>
        <w:t>＝</w:t>
      </w:r>
      <w:r>
        <w:rPr>
          <w:rFonts w:ascii="Microsoft JhengHei" w:hAnsi="Microsoft JhengHei" w:eastAsia="Microsoft JhengHei" w:cs="Microsoft JhengHei"/>
          <w:w w:val="101"/>
          <w:sz w:val="19"/>
          <w:szCs w:val="19"/>
        </w:rPr>
        <w:t xml:space="preserve">                                    </w:t>
      </w:r>
      <w:r>
        <w:rPr>
          <w:rFonts w:ascii="Microsoft JhengHei" w:hAnsi="Microsoft JhengHei" w:eastAsia="Microsoft JhengHei" w:cs="Microsoft JhengHei"/>
          <w:spacing w:val="15"/>
          <w:w w:val="101"/>
          <w:position w:val="-8"/>
          <w:sz w:val="19"/>
          <w:szCs w:val="19"/>
        </w:rPr>
        <w:t>试样总质量</w:t>
      </w:r>
      <w:r>
        <w:rPr>
          <w:rFonts w:ascii="Microsoft JhengHei" w:hAnsi="Microsoft JhengHei" w:eastAsia="Microsoft JhengHei" w:cs="Microsoft JhengHei"/>
          <w:spacing w:val="1"/>
          <w:w w:val="101"/>
          <w:position w:val="-8"/>
          <w:sz w:val="19"/>
          <w:szCs w:val="19"/>
        </w:rPr>
        <w:t xml:space="preserve">                                    </w:t>
      </w:r>
      <w:r>
        <w:rPr>
          <w:rFonts w:ascii="Microsoft JhengHei" w:hAnsi="Microsoft JhengHei" w:eastAsia="Microsoft JhengHei" w:cs="Microsoft JhengHei"/>
          <w:spacing w:val="15"/>
          <w:w w:val="101"/>
          <w:sz w:val="19"/>
          <w:szCs w:val="19"/>
        </w:rPr>
        <w:t>×</w:t>
      </w:r>
      <w:r>
        <w:rPr>
          <w:rFonts w:ascii="Microsoft JhengHei" w:hAnsi="Microsoft JhengHei" w:eastAsia="Microsoft JhengHei" w:cs="Microsoft JhengHei"/>
          <w:spacing w:val="6"/>
          <w:w w:val="101"/>
          <w:sz w:val="19"/>
          <w:szCs w:val="19"/>
        </w:rPr>
        <w:t xml:space="preserve"> </w:t>
      </w:r>
      <w:r>
        <w:rPr>
          <w:rFonts w:ascii="Microsoft JhengHei" w:hAnsi="Microsoft JhengHei" w:eastAsia="Microsoft JhengHei" w:cs="Microsoft JhengHei"/>
          <w:spacing w:val="-55"/>
          <w:position w:val="1"/>
          <w:sz w:val="19"/>
          <w:szCs w:val="19"/>
        </w:rPr>
        <w:t>１００</w:t>
      </w:r>
    </w:p>
    <w:p>
      <w:pPr>
        <w:spacing w:before="257" w:line="180" w:lineRule="auto"/>
        <w:ind w:firstLine="1023"/>
        <w:rPr>
          <w:rFonts w:ascii="Microsoft JhengHei" w:hAnsi="Microsoft JhengHei" w:eastAsia="Microsoft JhengHei" w:cs="Microsoft JhengHei"/>
          <w:sz w:val="19"/>
          <w:szCs w:val="19"/>
        </w:rPr>
      </w:pPr>
      <w:r>
        <w:rPr>
          <w:rFonts w:ascii="Microsoft JhengHei" w:hAnsi="Microsoft JhengHei" w:eastAsia="Microsoft JhengHei" w:cs="Microsoft JhengHei"/>
          <w:spacing w:val="-2"/>
          <w:position w:val="-2"/>
          <w:sz w:val="19"/>
          <w:szCs w:val="19"/>
        </w:rPr>
        <w:t>７</w:t>
      </w:r>
      <w:r>
        <w:rPr>
          <w:rFonts w:ascii="Microsoft JhengHei" w:hAnsi="Microsoft JhengHei" w:eastAsia="Microsoft JhengHei" w:cs="Microsoft JhengHei"/>
          <w:spacing w:val="12"/>
          <w:position w:val="-2"/>
          <w:sz w:val="19"/>
          <w:szCs w:val="19"/>
        </w:rPr>
        <w:t xml:space="preserve">    </w:t>
      </w:r>
      <w:r>
        <w:rPr>
          <w:rFonts w:ascii="Microsoft JhengHei" w:hAnsi="Microsoft JhengHei" w:eastAsia="Microsoft JhengHei" w:cs="Microsoft JhengHei"/>
          <w:spacing w:val="-2"/>
          <w:sz w:val="19"/>
          <w:szCs w:val="19"/>
        </w:rPr>
        <w:t>质量评定程序</w:t>
      </w:r>
    </w:p>
    <w:p>
      <w:pPr>
        <w:spacing w:before="223" w:line="180" w:lineRule="auto"/>
        <w:ind w:firstLine="1023"/>
        <w:rPr>
          <w:rFonts w:ascii="Microsoft JhengHei" w:hAnsi="Microsoft JhengHei" w:eastAsia="Microsoft JhengHei" w:cs="Microsoft JhengHei"/>
          <w:sz w:val="19"/>
          <w:szCs w:val="19"/>
        </w:rPr>
      </w:pPr>
      <w:r>
        <w:rPr>
          <w:rFonts w:ascii="Microsoft JhengHei" w:hAnsi="Microsoft JhengHei" w:eastAsia="Microsoft JhengHei" w:cs="Microsoft JhengHei"/>
          <w:spacing w:val="-71"/>
          <w:w w:val="83"/>
          <w:position w:val="-2"/>
          <w:sz w:val="19"/>
          <w:szCs w:val="19"/>
        </w:rPr>
        <w:t>７．</w:t>
      </w:r>
      <w:r>
        <w:rPr>
          <w:rFonts w:ascii="Microsoft JhengHei" w:hAnsi="Microsoft JhengHei" w:eastAsia="Microsoft JhengHei" w:cs="Microsoft JhengHei"/>
          <w:spacing w:val="-36"/>
          <w:position w:val="-2"/>
          <w:sz w:val="19"/>
          <w:szCs w:val="19"/>
        </w:rPr>
        <w:t xml:space="preserve"> </w:t>
      </w:r>
      <w:r>
        <w:rPr>
          <w:rFonts w:ascii="Microsoft JhengHei" w:hAnsi="Microsoft JhengHei" w:eastAsia="Microsoft JhengHei" w:cs="Microsoft JhengHei"/>
          <w:spacing w:val="-71"/>
          <w:w w:val="83"/>
          <w:position w:val="-2"/>
          <w:sz w:val="19"/>
          <w:szCs w:val="19"/>
        </w:rPr>
        <w:t>１</w:t>
      </w:r>
      <w:r>
        <w:rPr>
          <w:rFonts w:ascii="Microsoft JhengHei" w:hAnsi="Microsoft JhengHei" w:eastAsia="Microsoft JhengHei" w:cs="Microsoft JhengHei"/>
          <w:spacing w:val="5"/>
          <w:position w:val="-2"/>
          <w:sz w:val="19"/>
          <w:szCs w:val="19"/>
        </w:rPr>
        <w:t xml:space="preserve">     </w:t>
      </w:r>
      <w:r>
        <w:rPr>
          <w:rFonts w:ascii="Microsoft JhengHei" w:hAnsi="Microsoft JhengHei" w:eastAsia="Microsoft JhengHei" w:cs="Microsoft JhengHei"/>
          <w:spacing w:val="14"/>
          <w:sz w:val="19"/>
          <w:szCs w:val="19"/>
        </w:rPr>
        <w:t>组批与抽样</w:t>
      </w:r>
    </w:p>
    <w:p>
      <w:pPr>
        <w:spacing w:before="63" w:line="218" w:lineRule="auto"/>
        <w:ind w:firstLine="1023"/>
        <w:rPr>
          <w:rFonts w:ascii="Microsoft JhengHei" w:hAnsi="Microsoft JhengHei" w:eastAsia="Microsoft JhengHei" w:cs="Microsoft JhengHei"/>
          <w:sz w:val="19"/>
          <w:szCs w:val="19"/>
        </w:rPr>
      </w:pPr>
      <w:r>
        <w:rPr>
          <w:rFonts w:ascii="Microsoft JhengHei" w:hAnsi="Microsoft JhengHei" w:eastAsia="Microsoft JhengHei" w:cs="Microsoft JhengHei"/>
          <w:spacing w:val="-74"/>
          <w:w w:val="86"/>
          <w:position w:val="-2"/>
          <w:sz w:val="19"/>
          <w:szCs w:val="19"/>
        </w:rPr>
        <w:t>７．</w:t>
      </w:r>
      <w:r>
        <w:rPr>
          <w:rFonts w:ascii="Microsoft JhengHei" w:hAnsi="Microsoft JhengHei" w:eastAsia="Microsoft JhengHei" w:cs="Microsoft JhengHei"/>
          <w:spacing w:val="-27"/>
          <w:position w:val="-2"/>
          <w:sz w:val="19"/>
          <w:szCs w:val="19"/>
        </w:rPr>
        <w:t xml:space="preserve"> </w:t>
      </w:r>
      <w:r>
        <w:rPr>
          <w:rFonts w:ascii="Microsoft JhengHei" w:hAnsi="Microsoft JhengHei" w:eastAsia="Microsoft JhengHei" w:cs="Microsoft JhengHei"/>
          <w:spacing w:val="-74"/>
          <w:w w:val="86"/>
          <w:position w:val="-2"/>
          <w:sz w:val="19"/>
          <w:szCs w:val="19"/>
        </w:rPr>
        <w:t>１．</w:t>
      </w:r>
      <w:r>
        <w:rPr>
          <w:rFonts w:ascii="Microsoft JhengHei" w:hAnsi="Microsoft JhengHei" w:eastAsia="Microsoft JhengHei" w:cs="Microsoft JhengHei"/>
          <w:spacing w:val="-38"/>
          <w:position w:val="-2"/>
          <w:sz w:val="19"/>
          <w:szCs w:val="19"/>
        </w:rPr>
        <w:t xml:space="preserve"> </w:t>
      </w:r>
      <w:r>
        <w:rPr>
          <w:rFonts w:ascii="Microsoft JhengHei" w:hAnsi="Microsoft JhengHei" w:eastAsia="Microsoft JhengHei" w:cs="Microsoft JhengHei"/>
          <w:spacing w:val="-74"/>
          <w:w w:val="86"/>
          <w:position w:val="-2"/>
          <w:sz w:val="19"/>
          <w:szCs w:val="19"/>
        </w:rPr>
        <w:t>１</w:t>
      </w:r>
      <w:r>
        <w:rPr>
          <w:rFonts w:ascii="Microsoft JhengHei" w:hAnsi="Microsoft JhengHei" w:eastAsia="Microsoft JhengHei" w:cs="Microsoft JhengHei"/>
          <w:spacing w:val="7"/>
          <w:position w:val="-2"/>
          <w:sz w:val="19"/>
          <w:szCs w:val="19"/>
        </w:rPr>
        <w:t xml:space="preserve">     </w:t>
      </w:r>
      <w:r>
        <w:rPr>
          <w:rFonts w:ascii="Microsoft JhengHei" w:hAnsi="Microsoft JhengHei" w:eastAsia="Microsoft JhengHei" w:cs="Microsoft JhengHei"/>
          <w:spacing w:val="10"/>
          <w:sz w:val="19"/>
          <w:szCs w:val="19"/>
        </w:rPr>
        <w:t>同一牌号组成一个检验批，每批不大于</w:t>
      </w:r>
      <w:r>
        <w:rPr>
          <w:rFonts w:ascii="Microsoft JhengHei" w:hAnsi="Microsoft JhengHei" w:eastAsia="Microsoft JhengHei" w:cs="Microsoft JhengHei"/>
          <w:spacing w:val="28"/>
          <w:w w:val="101"/>
          <w:sz w:val="19"/>
          <w:szCs w:val="19"/>
        </w:rPr>
        <w:t xml:space="preserve"> </w:t>
      </w:r>
      <w:r>
        <w:rPr>
          <w:rFonts w:ascii="Microsoft JhengHei" w:hAnsi="Microsoft JhengHei" w:eastAsia="Microsoft JhengHei" w:cs="Microsoft JhengHei"/>
          <w:spacing w:val="-74"/>
          <w:w w:val="86"/>
          <w:position w:val="-2"/>
          <w:sz w:val="19"/>
          <w:szCs w:val="19"/>
        </w:rPr>
        <w:t>３００</w:t>
      </w:r>
      <w:r>
        <w:rPr>
          <w:rFonts w:ascii="Microsoft JhengHei" w:hAnsi="Microsoft JhengHei" w:eastAsia="Microsoft JhengHei" w:cs="Microsoft JhengHei"/>
          <w:spacing w:val="1"/>
          <w:w w:val="101"/>
          <w:position w:val="-2"/>
          <w:sz w:val="19"/>
          <w:szCs w:val="19"/>
        </w:rPr>
        <w:t xml:space="preserve">  </w:t>
      </w:r>
      <w:r>
        <w:rPr>
          <w:rFonts w:ascii="Microsoft JhengHei" w:hAnsi="Microsoft JhengHei" w:eastAsia="Microsoft JhengHei" w:cs="Microsoft JhengHei"/>
          <w:spacing w:val="-74"/>
          <w:w w:val="86"/>
          <w:position w:val="-2"/>
          <w:sz w:val="19"/>
          <w:szCs w:val="19"/>
        </w:rPr>
        <w:t>ｔ</w:t>
      </w:r>
      <w:r>
        <w:rPr>
          <w:rFonts w:ascii="Microsoft JhengHei" w:hAnsi="Microsoft JhengHei" w:eastAsia="Microsoft JhengHei" w:cs="Microsoft JhengHei"/>
          <w:spacing w:val="10"/>
          <w:sz w:val="19"/>
          <w:szCs w:val="19"/>
        </w:rPr>
        <w:t>。</w:t>
      </w:r>
      <w:r>
        <w:rPr>
          <w:rFonts w:ascii="Microsoft JhengHei" w:hAnsi="Microsoft JhengHei" w:eastAsia="Microsoft JhengHei" w:cs="Microsoft JhengHei"/>
          <w:spacing w:val="-83"/>
          <w:position w:val="-2"/>
          <w:sz w:val="19"/>
          <w:szCs w:val="19"/>
        </w:rPr>
        <w:t>７．</w:t>
      </w:r>
      <w:r>
        <w:rPr>
          <w:rFonts w:ascii="Microsoft JhengHei" w:hAnsi="Microsoft JhengHei" w:eastAsia="Microsoft JhengHei" w:cs="Microsoft JhengHei"/>
          <w:spacing w:val="-27"/>
          <w:position w:val="-2"/>
          <w:sz w:val="19"/>
          <w:szCs w:val="19"/>
        </w:rPr>
        <w:t xml:space="preserve"> </w:t>
      </w:r>
      <w:r>
        <w:rPr>
          <w:rFonts w:ascii="Microsoft JhengHei" w:hAnsi="Microsoft JhengHei" w:eastAsia="Microsoft JhengHei" w:cs="Microsoft JhengHei"/>
          <w:spacing w:val="-83"/>
          <w:position w:val="-2"/>
          <w:sz w:val="19"/>
          <w:szCs w:val="19"/>
        </w:rPr>
        <w:t>１．２</w:t>
      </w:r>
      <w:r>
        <w:rPr>
          <w:rFonts w:ascii="Microsoft JhengHei" w:hAnsi="Microsoft JhengHei" w:eastAsia="Microsoft JhengHei" w:cs="Microsoft JhengHei"/>
          <w:spacing w:val="11"/>
          <w:position w:val="-2"/>
          <w:sz w:val="19"/>
          <w:szCs w:val="19"/>
        </w:rPr>
        <w:t xml:space="preserve">    </w:t>
      </w:r>
      <w:r>
        <w:rPr>
          <w:rFonts w:ascii="Microsoft JhengHei" w:hAnsi="Microsoft JhengHei" w:eastAsia="Microsoft JhengHei" w:cs="Microsoft JhengHei"/>
          <w:spacing w:val="9"/>
          <w:sz w:val="19"/>
          <w:szCs w:val="19"/>
        </w:rPr>
        <w:t>按</w:t>
      </w:r>
      <w:r>
        <w:rPr>
          <w:rFonts w:ascii="Microsoft JhengHei" w:hAnsi="Microsoft JhengHei" w:eastAsia="Microsoft JhengHei" w:cs="Microsoft JhengHei"/>
          <w:spacing w:val="27"/>
          <w:sz w:val="19"/>
          <w:szCs w:val="19"/>
        </w:rPr>
        <w:t xml:space="preserve"> </w:t>
      </w:r>
      <w:r>
        <w:rPr>
          <w:rFonts w:ascii="Microsoft JhengHei" w:hAnsi="Microsoft JhengHei" w:eastAsia="Microsoft JhengHei" w:cs="Microsoft JhengHei"/>
          <w:spacing w:val="-83"/>
          <w:position w:val="-1"/>
          <w:sz w:val="19"/>
          <w:szCs w:val="19"/>
        </w:rPr>
        <w:t>ＧＢ／Ｔ</w:t>
      </w:r>
      <w:r>
        <w:rPr>
          <w:rFonts w:ascii="Microsoft JhengHei" w:hAnsi="Microsoft JhengHei" w:eastAsia="Microsoft JhengHei" w:cs="Microsoft JhengHei"/>
          <w:spacing w:val="43"/>
          <w:w w:val="101"/>
          <w:position w:val="-1"/>
          <w:sz w:val="19"/>
          <w:szCs w:val="19"/>
        </w:rPr>
        <w:t xml:space="preserve"> </w:t>
      </w:r>
      <w:r>
        <w:rPr>
          <w:rFonts w:ascii="Microsoft JhengHei" w:hAnsi="Microsoft JhengHei" w:eastAsia="Microsoft JhengHei" w:cs="Microsoft JhengHei"/>
          <w:spacing w:val="-83"/>
          <w:position w:val="-2"/>
          <w:sz w:val="19"/>
          <w:szCs w:val="19"/>
        </w:rPr>
        <w:t>１７６１７</w:t>
      </w:r>
      <w:r>
        <w:rPr>
          <w:rFonts w:ascii="Microsoft JhengHei" w:hAnsi="Microsoft JhengHei" w:eastAsia="Microsoft JhengHei" w:cs="Microsoft JhengHei"/>
          <w:spacing w:val="32"/>
          <w:w w:val="101"/>
          <w:position w:val="-2"/>
          <w:sz w:val="19"/>
          <w:szCs w:val="19"/>
        </w:rPr>
        <w:t xml:space="preserve"> </w:t>
      </w:r>
      <w:r>
        <w:rPr>
          <w:rFonts w:ascii="Microsoft JhengHei" w:hAnsi="Microsoft JhengHei" w:eastAsia="Microsoft JhengHei" w:cs="Microsoft JhengHei"/>
          <w:spacing w:val="9"/>
          <w:sz w:val="19"/>
          <w:szCs w:val="19"/>
        </w:rPr>
        <w:t>进行抽样。</w:t>
      </w:r>
    </w:p>
    <w:p>
      <w:pPr>
        <w:sectPr>
          <w:type w:val="continuous"/>
          <w:pgSz w:w="11906" w:h="16838"/>
          <w:pgMar w:top="1249" w:right="1349" w:bottom="1450" w:left="328" w:header="0" w:footer="1312" w:gutter="0"/>
          <w:cols w:equalWidth="0" w:num="1">
            <w:col w:w="10229"/>
          </w:cols>
        </w:sectPr>
      </w:pPr>
    </w:p>
    <w:p>
      <w:pPr>
        <w:spacing w:before="291" w:line="180"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pacing w:val="-79"/>
          <w:w w:val="92"/>
          <w:position w:val="-2"/>
          <w:sz w:val="19"/>
          <w:szCs w:val="19"/>
        </w:rPr>
        <w:t>７．２</w:t>
      </w:r>
      <w:r>
        <w:rPr>
          <w:rFonts w:ascii="Microsoft JhengHei" w:hAnsi="Microsoft JhengHei" w:eastAsia="Microsoft JhengHei" w:cs="Microsoft JhengHei"/>
          <w:spacing w:val="12"/>
          <w:w w:val="102"/>
          <w:position w:val="-2"/>
          <w:sz w:val="19"/>
          <w:szCs w:val="19"/>
        </w:rPr>
        <w:t xml:space="preserve">    </w:t>
      </w:r>
      <w:r>
        <w:rPr>
          <w:rFonts w:ascii="Microsoft JhengHei" w:hAnsi="Microsoft JhengHei" w:eastAsia="Microsoft JhengHei" w:cs="Microsoft JhengHei"/>
          <w:spacing w:val="15"/>
          <w:sz w:val="19"/>
          <w:szCs w:val="19"/>
        </w:rPr>
        <w:t>判定与复验</w:t>
      </w:r>
    </w:p>
    <w:p>
      <w:pPr>
        <w:spacing w:before="40" w:line="180"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pacing w:val="-78"/>
          <w:w w:val="91"/>
          <w:position w:val="-2"/>
          <w:sz w:val="19"/>
          <w:szCs w:val="19"/>
        </w:rPr>
        <w:t>７．２．</w:t>
      </w:r>
      <w:r>
        <w:rPr>
          <w:rFonts w:ascii="Microsoft JhengHei" w:hAnsi="Microsoft JhengHei" w:eastAsia="Microsoft JhengHei" w:cs="Microsoft JhengHei"/>
          <w:spacing w:val="-33"/>
          <w:position w:val="-2"/>
          <w:sz w:val="19"/>
          <w:szCs w:val="19"/>
        </w:rPr>
        <w:t xml:space="preserve"> </w:t>
      </w:r>
      <w:r>
        <w:rPr>
          <w:rFonts w:ascii="Microsoft JhengHei" w:hAnsi="Microsoft JhengHei" w:eastAsia="Microsoft JhengHei" w:cs="Microsoft JhengHei"/>
          <w:spacing w:val="-78"/>
          <w:w w:val="91"/>
          <w:position w:val="-2"/>
          <w:sz w:val="19"/>
          <w:szCs w:val="19"/>
        </w:rPr>
        <w:t>１</w:t>
      </w:r>
      <w:r>
        <w:rPr>
          <w:rFonts w:ascii="Microsoft JhengHei" w:hAnsi="Microsoft JhengHei" w:eastAsia="Microsoft JhengHei" w:cs="Microsoft JhengHei"/>
          <w:spacing w:val="4"/>
          <w:position w:val="-2"/>
          <w:sz w:val="19"/>
          <w:szCs w:val="19"/>
        </w:rPr>
        <w:t xml:space="preserve">     </w:t>
      </w:r>
      <w:r>
        <w:rPr>
          <w:rFonts w:ascii="Microsoft JhengHei" w:hAnsi="Microsoft JhengHei" w:eastAsia="Microsoft JhengHei" w:cs="Microsoft JhengHei"/>
          <w:spacing w:val="16"/>
          <w:sz w:val="19"/>
          <w:szCs w:val="19"/>
        </w:rPr>
        <w:t>检验结果按技术要求进行判定。</w:t>
      </w:r>
    </w:p>
    <w:p>
      <w:pPr>
        <w:spacing w:before="47" w:line="181" w:lineRule="auto"/>
        <w:ind w:right="877"/>
        <w:rPr>
          <w:rFonts w:ascii="Microsoft JhengHei" w:hAnsi="Microsoft JhengHei" w:eastAsia="Microsoft JhengHei" w:cs="Microsoft JhengHei"/>
          <w:sz w:val="19"/>
          <w:szCs w:val="19"/>
        </w:rPr>
      </w:pPr>
      <w:r>
        <w:rPr>
          <w:rFonts w:ascii="Microsoft JhengHei" w:hAnsi="Microsoft JhengHei" w:eastAsia="Microsoft JhengHei" w:cs="Microsoft JhengHei"/>
          <w:spacing w:val="-85"/>
          <w:position w:val="-2"/>
          <w:sz w:val="19"/>
          <w:szCs w:val="19"/>
        </w:rPr>
        <w:t>７．２．２</w:t>
      </w:r>
      <w:r>
        <w:rPr>
          <w:rFonts w:ascii="Microsoft JhengHei" w:hAnsi="Microsoft JhengHei" w:eastAsia="Microsoft JhengHei" w:cs="Microsoft JhengHei"/>
          <w:spacing w:val="10"/>
          <w:w w:val="101"/>
          <w:position w:val="-2"/>
          <w:sz w:val="19"/>
          <w:szCs w:val="19"/>
        </w:rPr>
        <w:t xml:space="preserve">    </w:t>
      </w:r>
      <w:r>
        <w:rPr>
          <w:rFonts w:ascii="Microsoft JhengHei" w:hAnsi="Microsoft JhengHei" w:eastAsia="Microsoft JhengHei" w:cs="Microsoft JhengHei"/>
          <w:spacing w:val="16"/>
          <w:sz w:val="19"/>
          <w:szCs w:val="19"/>
        </w:rPr>
        <w:t>烧结镁砂检验结果中，如有一项指标不合格时，需在同批产品中重新抽取双倍数量的试样或用</w:t>
      </w:r>
      <w:r>
        <w:rPr>
          <w:rFonts w:ascii="Microsoft JhengHei" w:hAnsi="Microsoft JhengHei" w:eastAsia="Microsoft JhengHei" w:cs="Microsoft JhengHei"/>
          <w:spacing w:val="1"/>
          <w:w w:val="101"/>
          <w:sz w:val="19"/>
          <w:szCs w:val="19"/>
        </w:rPr>
        <w:t xml:space="preserve"> </w:t>
      </w:r>
      <w:r>
        <w:rPr>
          <w:rFonts w:ascii="Microsoft JhengHei" w:hAnsi="Microsoft JhengHei" w:eastAsia="Microsoft JhengHei" w:cs="Microsoft JhengHei"/>
          <w:spacing w:val="15"/>
          <w:sz w:val="19"/>
          <w:szCs w:val="19"/>
        </w:rPr>
        <w:t>该批产品缩分后的保留试样对不合格项进行复验，以复验结果作为该批最终检验结果。</w:t>
      </w:r>
    </w:p>
    <w:p>
      <w:pPr>
        <w:spacing w:before="114" w:line="226" w:lineRule="auto"/>
        <w:ind w:left="1" w:right="877" w:hanging="1"/>
        <w:rPr>
          <w:rFonts w:ascii="Microsoft JhengHei" w:hAnsi="Microsoft JhengHei" w:eastAsia="Microsoft JhengHei" w:cs="Microsoft JhengHei"/>
          <w:sz w:val="19"/>
          <w:szCs w:val="19"/>
        </w:rPr>
      </w:pPr>
      <w:r>
        <w:rPr>
          <w:rFonts w:ascii="Microsoft JhengHei" w:hAnsi="Microsoft JhengHei" w:eastAsia="Microsoft JhengHei" w:cs="Microsoft JhengHei"/>
          <w:spacing w:val="-81"/>
          <w:w w:val="94"/>
          <w:position w:val="-2"/>
          <w:sz w:val="19"/>
          <w:szCs w:val="19"/>
        </w:rPr>
        <w:t>７．２．３</w:t>
      </w:r>
      <w:r>
        <w:rPr>
          <w:rFonts w:ascii="Microsoft JhengHei" w:hAnsi="Microsoft JhengHei" w:eastAsia="Microsoft JhengHei" w:cs="Microsoft JhengHei"/>
          <w:spacing w:val="14"/>
          <w:position w:val="-2"/>
          <w:sz w:val="19"/>
          <w:szCs w:val="19"/>
        </w:rPr>
        <w:t xml:space="preserve">    </w:t>
      </w:r>
      <w:r>
        <w:rPr>
          <w:rFonts w:ascii="Microsoft JhengHei" w:hAnsi="Microsoft JhengHei" w:eastAsia="Microsoft JhengHei" w:cs="Microsoft JhengHei"/>
          <w:spacing w:val="7"/>
          <w:sz w:val="19"/>
          <w:szCs w:val="19"/>
        </w:rPr>
        <w:t>需方对产品质量有异议时，应在收货之日起</w:t>
      </w:r>
      <w:r>
        <w:rPr>
          <w:rFonts w:ascii="Microsoft JhengHei" w:hAnsi="Microsoft JhengHei" w:eastAsia="Microsoft JhengHei" w:cs="Microsoft JhengHei"/>
          <w:spacing w:val="31"/>
          <w:w w:val="101"/>
          <w:sz w:val="19"/>
          <w:szCs w:val="19"/>
        </w:rPr>
        <w:t xml:space="preserve"> </w:t>
      </w:r>
      <w:r>
        <w:rPr>
          <w:rFonts w:ascii="Microsoft JhengHei" w:hAnsi="Microsoft JhengHei" w:eastAsia="Microsoft JhengHei" w:cs="Microsoft JhengHei"/>
          <w:spacing w:val="-81"/>
          <w:w w:val="94"/>
          <w:position w:val="-2"/>
          <w:sz w:val="19"/>
          <w:szCs w:val="19"/>
        </w:rPr>
        <w:t>１０</w:t>
      </w:r>
      <w:r>
        <w:rPr>
          <w:rFonts w:ascii="Microsoft JhengHei" w:hAnsi="Microsoft JhengHei" w:eastAsia="Microsoft JhengHei" w:cs="Microsoft JhengHei"/>
          <w:spacing w:val="12"/>
          <w:position w:val="-2"/>
          <w:sz w:val="19"/>
          <w:szCs w:val="19"/>
        </w:rPr>
        <w:t xml:space="preserve">  </w:t>
      </w:r>
      <w:r>
        <w:rPr>
          <w:rFonts w:ascii="Microsoft JhengHei" w:hAnsi="Microsoft JhengHei" w:eastAsia="Microsoft JhengHei" w:cs="Microsoft JhengHei"/>
          <w:spacing w:val="7"/>
          <w:sz w:val="19"/>
          <w:szCs w:val="19"/>
        </w:rPr>
        <w:t>日内提出；由供需双方（或委托第三方）共同重新</w:t>
      </w:r>
      <w:r>
        <w:rPr>
          <w:rFonts w:ascii="Microsoft JhengHei" w:hAnsi="Microsoft JhengHei" w:eastAsia="Microsoft JhengHei" w:cs="Microsoft JhengHei"/>
          <w:sz w:val="19"/>
          <w:szCs w:val="19"/>
        </w:rPr>
        <w:t xml:space="preserve"> </w:t>
      </w:r>
      <w:r>
        <w:rPr>
          <w:rFonts w:ascii="Microsoft JhengHei" w:hAnsi="Microsoft JhengHei" w:eastAsia="Microsoft JhengHei" w:cs="Microsoft JhengHei"/>
          <w:spacing w:val="8"/>
          <w:sz w:val="19"/>
          <w:szCs w:val="19"/>
        </w:rPr>
        <w:t>取样复验，以复验结果为准。</w:t>
      </w:r>
    </w:p>
    <w:p>
      <w:pPr>
        <w:spacing w:before="154" w:line="180" w:lineRule="auto"/>
        <w:ind w:firstLine="2"/>
        <w:rPr>
          <w:rFonts w:ascii="Microsoft JhengHei" w:hAnsi="Microsoft JhengHei" w:eastAsia="Microsoft JhengHei" w:cs="Microsoft JhengHei"/>
          <w:sz w:val="19"/>
          <w:szCs w:val="19"/>
        </w:rPr>
      </w:pPr>
      <w:r>
        <w:rPr>
          <w:rFonts w:ascii="Microsoft JhengHei" w:hAnsi="Microsoft JhengHei" w:eastAsia="Microsoft JhengHei" w:cs="Microsoft JhengHei"/>
          <w:spacing w:val="-7"/>
          <w:position w:val="-2"/>
          <w:sz w:val="19"/>
          <w:szCs w:val="19"/>
        </w:rPr>
        <w:t>８</w:t>
      </w:r>
      <w:r>
        <w:rPr>
          <w:rFonts w:ascii="Microsoft JhengHei" w:hAnsi="Microsoft JhengHei" w:eastAsia="Microsoft JhengHei" w:cs="Microsoft JhengHei"/>
          <w:spacing w:val="2"/>
          <w:position w:val="-2"/>
          <w:sz w:val="19"/>
          <w:szCs w:val="19"/>
        </w:rPr>
        <w:t xml:space="preserve">     </w:t>
      </w:r>
      <w:r>
        <w:rPr>
          <w:rFonts w:ascii="Microsoft JhengHei" w:hAnsi="Microsoft JhengHei" w:eastAsia="Microsoft JhengHei" w:cs="Microsoft JhengHei"/>
          <w:spacing w:val="-7"/>
          <w:sz w:val="19"/>
          <w:szCs w:val="19"/>
        </w:rPr>
        <w:t>包装、标志、运输、储存及质量证明书</w:t>
      </w:r>
    </w:p>
    <w:p>
      <w:pPr>
        <w:spacing w:line="158" w:lineRule="exact"/>
      </w:pPr>
    </w:p>
    <w:p>
      <w:pPr>
        <w:sectPr>
          <w:footerReference r:id="rId4" w:type="default"/>
          <w:pgSz w:w="11906" w:h="16838"/>
          <w:pgMar w:top="1249" w:right="471" w:bottom="400" w:left="1351" w:header="0" w:footer="0" w:gutter="0"/>
          <w:cols w:equalWidth="0" w:num="1">
            <w:col w:w="10082"/>
          </w:cols>
        </w:sectPr>
      </w:pPr>
    </w:p>
    <w:p>
      <w:pPr>
        <w:spacing w:before="57" w:line="180" w:lineRule="auto"/>
        <w:ind w:firstLine="2"/>
        <w:rPr>
          <w:rFonts w:ascii="Microsoft JhengHei" w:hAnsi="Microsoft JhengHei" w:eastAsia="Microsoft JhengHei" w:cs="Microsoft JhengHei"/>
          <w:sz w:val="19"/>
          <w:szCs w:val="19"/>
        </w:rPr>
      </w:pPr>
      <w:r>
        <w:rPr>
          <w:rFonts w:ascii="Microsoft JhengHei" w:hAnsi="Microsoft JhengHei" w:eastAsia="Microsoft JhengHei" w:cs="Microsoft JhengHei"/>
          <w:spacing w:val="-71"/>
          <w:w w:val="82"/>
          <w:position w:val="-2"/>
          <w:sz w:val="19"/>
          <w:szCs w:val="19"/>
        </w:rPr>
        <w:t>８．</w:t>
      </w:r>
      <w:r>
        <w:rPr>
          <w:rFonts w:ascii="Microsoft JhengHei" w:hAnsi="Microsoft JhengHei" w:eastAsia="Microsoft JhengHei" w:cs="Microsoft JhengHei"/>
          <w:spacing w:val="-34"/>
          <w:position w:val="-2"/>
          <w:sz w:val="19"/>
          <w:szCs w:val="19"/>
        </w:rPr>
        <w:t xml:space="preserve"> </w:t>
      </w:r>
      <w:r>
        <w:rPr>
          <w:rFonts w:ascii="Microsoft JhengHei" w:hAnsi="Microsoft JhengHei" w:eastAsia="Microsoft JhengHei" w:cs="Microsoft JhengHei"/>
          <w:spacing w:val="-71"/>
          <w:w w:val="82"/>
          <w:position w:val="-2"/>
          <w:sz w:val="19"/>
          <w:szCs w:val="19"/>
        </w:rPr>
        <w:t>１</w:t>
      </w:r>
    </w:p>
    <w:p>
      <w:pPr>
        <w:spacing w:before="68" w:line="180" w:lineRule="auto"/>
        <w:ind w:firstLine="2"/>
        <w:rPr>
          <w:rFonts w:ascii="Microsoft JhengHei" w:hAnsi="Microsoft JhengHei" w:eastAsia="Microsoft JhengHei" w:cs="Microsoft JhengHei"/>
          <w:sz w:val="19"/>
          <w:szCs w:val="19"/>
        </w:rPr>
      </w:pPr>
      <w:r>
        <w:rPr>
          <w:rFonts w:ascii="Microsoft JhengHei" w:hAnsi="Microsoft JhengHei" w:eastAsia="Microsoft JhengHei" w:cs="Microsoft JhengHei"/>
          <w:spacing w:val="-59"/>
          <w:position w:val="-2"/>
          <w:sz w:val="19"/>
          <w:szCs w:val="19"/>
        </w:rPr>
        <w:t>８．２</w:t>
      </w:r>
    </w:p>
    <w:p>
      <w:pPr>
        <w:spacing w:before="68" w:line="180" w:lineRule="auto"/>
        <w:ind w:firstLine="2"/>
        <w:rPr>
          <w:rFonts w:ascii="Microsoft JhengHei" w:hAnsi="Microsoft JhengHei" w:eastAsia="Microsoft JhengHei" w:cs="Microsoft JhengHei"/>
          <w:sz w:val="19"/>
          <w:szCs w:val="19"/>
        </w:rPr>
      </w:pPr>
      <w:r>
        <w:rPr>
          <w:rFonts w:ascii="Microsoft JhengHei" w:hAnsi="Microsoft JhengHei" w:eastAsia="Microsoft JhengHei" w:cs="Microsoft JhengHei"/>
          <w:spacing w:val="-58"/>
          <w:position w:val="-2"/>
          <w:sz w:val="19"/>
          <w:szCs w:val="19"/>
        </w:rPr>
        <w:t>８．３</w:t>
      </w:r>
    </w:p>
    <w:p>
      <w:pPr>
        <w:spacing w:before="68" w:line="180" w:lineRule="auto"/>
        <w:ind w:firstLine="2"/>
        <w:rPr>
          <w:rFonts w:ascii="Microsoft JhengHei" w:hAnsi="Microsoft JhengHei" w:eastAsia="Microsoft JhengHei" w:cs="Microsoft JhengHei"/>
          <w:sz w:val="19"/>
          <w:szCs w:val="19"/>
        </w:rPr>
      </w:pPr>
      <w:r>
        <w:rPr>
          <w:rFonts w:ascii="Microsoft JhengHei" w:hAnsi="Microsoft JhengHei" w:eastAsia="Microsoft JhengHei" w:cs="Microsoft JhengHei"/>
          <w:spacing w:val="-58"/>
          <w:position w:val="-2"/>
          <w:sz w:val="19"/>
          <w:szCs w:val="19"/>
        </w:rPr>
        <w:t>８．４</w:t>
      </w:r>
    </w:p>
    <w:p>
      <w:pPr>
        <w:spacing w:before="68" w:line="186" w:lineRule="exact"/>
        <w:ind w:firstLine="2"/>
        <w:rPr>
          <w:rFonts w:ascii="Microsoft JhengHei" w:hAnsi="Microsoft JhengHei" w:eastAsia="Microsoft JhengHei" w:cs="Microsoft JhengHei"/>
          <w:sz w:val="19"/>
          <w:szCs w:val="19"/>
        </w:rPr>
      </w:pPr>
      <w:r>
        <w:rPr>
          <w:rFonts w:ascii="Microsoft JhengHei" w:hAnsi="Microsoft JhengHei" w:eastAsia="Microsoft JhengHei" w:cs="Microsoft JhengHei"/>
          <w:spacing w:val="-59"/>
          <w:position w:val="-1"/>
          <w:sz w:val="19"/>
          <w:szCs w:val="19"/>
        </w:rPr>
        <w:t>８．５</w:t>
      </w:r>
    </w:p>
    <w:p>
      <w:pPr>
        <w:spacing w:line="14" w:lineRule="auto"/>
        <w:rPr>
          <w:rFonts w:ascii="Arial"/>
          <w:sz w:val="2"/>
        </w:rPr>
      </w:pPr>
      <w:r>
        <w:rPr>
          <w:rFonts w:ascii="Arial" w:hAnsi="Arial" w:eastAsia="Arial" w:cs="Arial"/>
          <w:sz w:val="2"/>
          <w:szCs w:val="2"/>
        </w:rPr>
        <w:br w:type="column"/>
      </w:r>
    </w:p>
    <w:p>
      <w:pPr>
        <w:spacing w:before="39" w:line="180" w:lineRule="auto"/>
        <w:ind w:firstLine="118"/>
        <w:rPr>
          <w:rFonts w:ascii="Microsoft JhengHei" w:hAnsi="Microsoft JhengHei" w:eastAsia="Microsoft JhengHei" w:cs="Microsoft JhengHei"/>
          <w:sz w:val="19"/>
          <w:szCs w:val="19"/>
        </w:rPr>
      </w:pPr>
      <w:r>
        <w:rPr>
          <w:rFonts w:ascii="Microsoft JhengHei" w:hAnsi="Microsoft JhengHei" w:eastAsia="Microsoft JhengHei" w:cs="Microsoft JhengHei"/>
          <w:spacing w:val="8"/>
          <w:sz w:val="19"/>
          <w:szCs w:val="19"/>
        </w:rPr>
        <w:t>包装袋上应注明产品名称、数量、生产厂家和商标。</w:t>
      </w:r>
    </w:p>
    <w:p>
      <w:pPr>
        <w:spacing w:before="72" w:line="180" w:lineRule="auto"/>
        <w:ind w:firstLine="118"/>
        <w:rPr>
          <w:rFonts w:ascii="Microsoft JhengHei" w:hAnsi="Microsoft JhengHei" w:eastAsia="Microsoft JhengHei" w:cs="Microsoft JhengHei"/>
          <w:sz w:val="19"/>
          <w:szCs w:val="19"/>
        </w:rPr>
      </w:pPr>
      <w:r>
        <w:rPr>
          <w:rFonts w:ascii="Microsoft JhengHei" w:hAnsi="Microsoft JhengHei" w:eastAsia="Microsoft JhengHei" w:cs="Microsoft JhengHei"/>
          <w:spacing w:val="5"/>
          <w:sz w:val="19"/>
          <w:szCs w:val="19"/>
        </w:rPr>
        <w:t>包装袋材料要坚韧、防潮、不破裂；包装袋要封口严密。</w:t>
      </w:r>
    </w:p>
    <w:p>
      <w:pPr>
        <w:spacing w:before="68" w:line="180" w:lineRule="auto"/>
        <w:ind w:firstLine="114"/>
        <w:rPr>
          <w:rFonts w:ascii="Microsoft JhengHei" w:hAnsi="Microsoft JhengHei" w:eastAsia="Microsoft JhengHei" w:cs="Microsoft JhengHei"/>
          <w:sz w:val="19"/>
          <w:szCs w:val="19"/>
        </w:rPr>
      </w:pPr>
      <w:r>
        <w:rPr>
          <w:rFonts w:ascii="Microsoft JhengHei" w:hAnsi="Microsoft JhengHei" w:eastAsia="Microsoft JhengHei" w:cs="Microsoft JhengHei"/>
          <w:spacing w:val="15"/>
          <w:sz w:val="19"/>
          <w:szCs w:val="19"/>
        </w:rPr>
        <w:t>烧结镁砂的运输工具应保持清洁并有防雨雪设施；运输过程中应严防潮湿和污染。</w:t>
      </w:r>
    </w:p>
    <w:p>
      <w:pPr>
        <w:spacing w:before="63" w:line="180" w:lineRule="auto"/>
        <w:ind w:firstLine="114"/>
        <w:rPr>
          <w:rFonts w:ascii="Microsoft JhengHei" w:hAnsi="Microsoft JhengHei" w:eastAsia="Microsoft JhengHei" w:cs="Microsoft JhengHei"/>
          <w:sz w:val="19"/>
          <w:szCs w:val="19"/>
        </w:rPr>
      </w:pPr>
      <w:r>
        <w:rPr>
          <w:rFonts w:ascii="Microsoft JhengHei" w:hAnsi="Microsoft JhengHei" w:eastAsia="Microsoft JhengHei" w:cs="Microsoft JhengHei"/>
          <w:spacing w:val="17"/>
          <w:sz w:val="19"/>
          <w:szCs w:val="19"/>
        </w:rPr>
        <w:t>烧结镁砂应储存在不受潮湿和无污染的库房内。</w:t>
      </w:r>
    </w:p>
    <w:p>
      <w:pPr>
        <w:spacing w:before="73" w:line="199" w:lineRule="exact"/>
        <w:ind w:firstLine="120"/>
        <w:rPr>
          <w:rFonts w:ascii="Microsoft JhengHei" w:hAnsi="Microsoft JhengHei" w:eastAsia="Microsoft JhengHei" w:cs="Microsoft JhengHei"/>
          <w:sz w:val="19"/>
          <w:szCs w:val="19"/>
        </w:rPr>
      </w:pPr>
      <w:r>
        <w:rPr>
          <w:rFonts w:ascii="Microsoft JhengHei" w:hAnsi="Microsoft JhengHei" w:eastAsia="Microsoft JhengHei" w:cs="Microsoft JhengHei"/>
          <w:spacing w:val="13"/>
          <w:sz w:val="19"/>
          <w:szCs w:val="19"/>
        </w:rPr>
        <w:t>质量证明书按</w:t>
      </w:r>
      <w:r>
        <w:rPr>
          <w:rFonts w:ascii="Microsoft JhengHei" w:hAnsi="Microsoft JhengHei" w:eastAsia="Microsoft JhengHei" w:cs="Microsoft JhengHei"/>
          <w:spacing w:val="31"/>
          <w:w w:val="101"/>
          <w:sz w:val="19"/>
          <w:szCs w:val="19"/>
        </w:rPr>
        <w:t xml:space="preserve"> </w:t>
      </w:r>
      <w:r>
        <w:rPr>
          <w:rFonts w:ascii="Microsoft JhengHei" w:hAnsi="Microsoft JhengHei" w:eastAsia="Microsoft JhengHei" w:cs="Microsoft JhengHei"/>
          <w:spacing w:val="-76"/>
          <w:position w:val="-1"/>
          <w:sz w:val="19"/>
          <w:szCs w:val="19"/>
        </w:rPr>
        <w:t>ＹＢ／Ｔ</w:t>
      </w:r>
      <w:r>
        <w:rPr>
          <w:rFonts w:ascii="Microsoft JhengHei" w:hAnsi="Microsoft JhengHei" w:eastAsia="Microsoft JhengHei" w:cs="Microsoft JhengHei"/>
          <w:spacing w:val="41"/>
          <w:w w:val="101"/>
          <w:position w:val="-1"/>
          <w:sz w:val="19"/>
          <w:szCs w:val="19"/>
        </w:rPr>
        <w:t xml:space="preserve"> </w:t>
      </w:r>
      <w:r>
        <w:rPr>
          <w:rFonts w:ascii="Microsoft JhengHei" w:hAnsi="Microsoft JhengHei" w:eastAsia="Microsoft JhengHei" w:cs="Microsoft JhengHei"/>
          <w:spacing w:val="-76"/>
          <w:position w:val="-2"/>
          <w:sz w:val="19"/>
          <w:szCs w:val="19"/>
        </w:rPr>
        <w:t>５１４２</w:t>
      </w:r>
      <w:r>
        <w:rPr>
          <w:rFonts w:ascii="Microsoft JhengHei" w:hAnsi="Microsoft JhengHei" w:eastAsia="Microsoft JhengHei" w:cs="Microsoft JhengHei"/>
          <w:w w:val="101"/>
          <w:position w:val="-2"/>
          <w:sz w:val="19"/>
          <w:szCs w:val="19"/>
        </w:rPr>
        <w:t xml:space="preserve">  </w:t>
      </w:r>
      <w:r>
        <w:rPr>
          <w:rFonts w:ascii="Microsoft JhengHei" w:hAnsi="Microsoft JhengHei" w:eastAsia="Microsoft JhengHei" w:cs="Microsoft JhengHei"/>
          <w:spacing w:val="13"/>
          <w:sz w:val="19"/>
          <w:szCs w:val="19"/>
        </w:rPr>
        <w:t>的规定进行。</w:t>
      </w:r>
    </w:p>
    <w:p>
      <w:pPr>
        <w:sectPr>
          <w:type w:val="continuous"/>
          <w:pgSz w:w="11906" w:h="16838"/>
          <w:pgMar w:top="1249" w:right="471" w:bottom="400" w:left="1351" w:header="0" w:footer="0" w:gutter="0"/>
          <w:cols w:equalWidth="0" w:num="2">
            <w:col w:w="408" w:space="0"/>
            <w:col w:w="9675"/>
          </w:cols>
        </w:sectPr>
      </w:pPr>
    </w:p>
    <w:p>
      <w:pPr>
        <w:spacing w:line="255" w:lineRule="auto"/>
        <w:rPr>
          <w:rFonts w:ascii="Arial"/>
          <w:sz w:val="21"/>
        </w:rPr>
      </w:pPr>
    </w:p>
    <w:p>
      <w:pPr>
        <w:spacing w:line="420" w:lineRule="exact"/>
        <w:rPr>
          <w:rFonts w:ascii="宋体" w:hAnsi="宋体"/>
          <w:color w:val="000000"/>
          <w:sz w:val="24"/>
        </w:rPr>
      </w:pPr>
    </w:p>
    <w:p>
      <w:pPr>
        <w:pStyle w:val="35"/>
        <w:rPr>
          <w:rFonts w:asciiTheme="minorEastAsia" w:hAnsiTheme="minorEastAsia" w:eastAsiaTheme="minorEastAsia"/>
        </w:rPr>
      </w:pPr>
      <w:r>
        <w:rPr>
          <w:rFonts w:hint="eastAsia" w:asciiTheme="minorEastAsia" w:hAnsiTheme="minorEastAsia" w:eastAsiaTheme="minorEastAsia"/>
        </w:rPr>
        <w:t>第五章 合同条款及格式</w:t>
      </w:r>
      <w:bookmarkEnd w:id="13"/>
    </w:p>
    <w:p>
      <w:pPr>
        <w:pStyle w:val="2"/>
        <w:spacing w:before="0" w:after="0"/>
        <w:ind w:left="810"/>
        <w:jc w:val="center"/>
        <w:rPr>
          <w:rFonts w:asciiTheme="minorEastAsia" w:hAnsiTheme="minorEastAsia" w:eastAsiaTheme="minorEastAsia"/>
          <w:b w:val="0"/>
          <w:sz w:val="28"/>
          <w:szCs w:val="28"/>
        </w:rPr>
      </w:pPr>
    </w:p>
    <w:p>
      <w:pPr>
        <w:pStyle w:val="15"/>
        <w:tabs>
          <w:tab w:val="left" w:pos="840"/>
        </w:tabs>
        <w:spacing w:line="440" w:lineRule="exact"/>
        <w:ind w:left="432" w:hanging="432"/>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1     定  义</w:t>
      </w:r>
    </w:p>
    <w:p>
      <w:pPr>
        <w:spacing w:line="440" w:lineRule="exact"/>
        <w:ind w:left="840" w:leftChars="400"/>
        <w:rPr>
          <w:rFonts w:asciiTheme="minorEastAsia" w:hAnsiTheme="minorEastAsia" w:eastAsiaTheme="minorEastAsia"/>
          <w:sz w:val="28"/>
          <w:szCs w:val="28"/>
        </w:rPr>
      </w:pPr>
      <w:r>
        <w:rPr>
          <w:rFonts w:hint="eastAsia" w:asciiTheme="minorEastAsia" w:hAnsiTheme="minorEastAsia" w:eastAsiaTheme="minorEastAsia"/>
          <w:sz w:val="28"/>
          <w:szCs w:val="28"/>
        </w:rPr>
        <w:t>除非本合同上下文中另有规定，下列词语各有如下定义：</w:t>
      </w:r>
    </w:p>
    <w:p>
      <w:pPr>
        <w:numPr>
          <w:ilvl w:val="1"/>
          <w:numId w:val="4"/>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“买方”是指：衡阳华菱钢管（连轧管）有限公司</w:t>
      </w:r>
    </w:p>
    <w:p>
      <w:pPr>
        <w:numPr>
          <w:ilvl w:val="1"/>
          <w:numId w:val="4"/>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“卖方”是指：供应商</w:t>
      </w:r>
    </w:p>
    <w:p>
      <w:pPr>
        <w:numPr>
          <w:ilvl w:val="1"/>
          <w:numId w:val="4"/>
        </w:numPr>
        <w:tabs>
          <w:tab w:val="left" w:pos="567"/>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“合同”是指由买方和卖方（以下简称“双方”）签署的本合同和合同附件 (以下简称“附件”)</w:t>
      </w:r>
    </w:p>
    <w:p>
      <w:pPr>
        <w:numPr>
          <w:ilvl w:val="1"/>
          <w:numId w:val="4"/>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“合同货币”是指在本合同项下的支付中所用的货币，即人民币。   </w:t>
      </w:r>
    </w:p>
    <w:p>
      <w:pPr>
        <w:numPr>
          <w:ilvl w:val="1"/>
          <w:numId w:val="4"/>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“合同设备”是指本合同项下的产品及服务。   </w:t>
      </w:r>
    </w:p>
    <w:p>
      <w:pPr>
        <w:numPr>
          <w:ilvl w:val="1"/>
          <w:numId w:val="4"/>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“合同价格”是指在卖方已经充分和适当地履行了其合同义务后，买方根据合同规定支付给卖方的价款。该价款不受价格波动的影响。   </w:t>
      </w:r>
    </w:p>
    <w:p>
      <w:pPr>
        <w:numPr>
          <w:ilvl w:val="1"/>
          <w:numId w:val="4"/>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“天”是指日历天数。</w:t>
      </w:r>
    </w:p>
    <w:p>
      <w:pPr>
        <w:numPr>
          <w:ilvl w:val="1"/>
          <w:numId w:val="4"/>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“月”是指日历月数。</w:t>
      </w:r>
    </w:p>
    <w:p>
      <w:pPr>
        <w:pStyle w:val="15"/>
        <w:tabs>
          <w:tab w:val="left" w:pos="840"/>
        </w:tabs>
        <w:spacing w:line="440" w:lineRule="exact"/>
        <w:ind w:left="420" w:hanging="42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2     价  格</w:t>
      </w:r>
    </w:p>
    <w:p>
      <w:pPr>
        <w:numPr>
          <w:ilvl w:val="1"/>
          <w:numId w:val="5"/>
        </w:num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本合同为固定单价，合同价为  ______人民币   （大写__________）</w:t>
      </w:r>
    </w:p>
    <w:p>
      <w:pPr>
        <w:numPr>
          <w:ilvl w:val="1"/>
          <w:numId w:val="5"/>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该合同价格是含税固定价格。</w:t>
      </w:r>
    </w:p>
    <w:p>
      <w:pPr>
        <w:pStyle w:val="15"/>
        <w:tabs>
          <w:tab w:val="left" w:pos="840"/>
        </w:tabs>
        <w:spacing w:line="440" w:lineRule="exact"/>
        <w:ind w:left="420" w:hanging="42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3     支  付</w:t>
      </w:r>
    </w:p>
    <w:p>
      <w:pPr>
        <w:numPr>
          <w:ilvl w:val="1"/>
          <w:numId w:val="6"/>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货到验收合格，供方开具13%的增值税发票交需方财务入账后，按买方周期付款方式以承兑汇票方式付款。</w:t>
      </w:r>
    </w:p>
    <w:p>
      <w:pPr>
        <w:numPr>
          <w:ilvl w:val="1"/>
          <w:numId w:val="6"/>
        </w:numPr>
        <w:tabs>
          <w:tab w:val="left" w:pos="840"/>
          <w:tab w:val="clear" w:pos="48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sz w:val="28"/>
          <w:szCs w:val="28"/>
        </w:rPr>
        <w:t>支付方式:一般为承兑汇票。</w:t>
      </w:r>
    </w:p>
    <w:p>
      <w:pPr>
        <w:spacing w:line="440" w:lineRule="exact"/>
        <w:rPr>
          <w:rFonts w:asciiTheme="minorEastAsia" w:hAnsiTheme="minorEastAsia" w:eastAsiaTheme="minorEastAsia"/>
          <w:b/>
          <w:sz w:val="28"/>
          <w:szCs w:val="28"/>
        </w:rPr>
      </w:pPr>
      <w:r>
        <w:rPr>
          <w:rFonts w:hint="eastAsia" w:asciiTheme="minorEastAsia" w:hAnsiTheme="minorEastAsia" w:eastAsiaTheme="minorEastAsia"/>
          <w:b/>
          <w:bCs/>
          <w:sz w:val="28"/>
          <w:szCs w:val="28"/>
        </w:rPr>
        <w:t>4     保  证</w:t>
      </w:r>
    </w:p>
    <w:p>
      <w:pPr>
        <w:numPr>
          <w:ilvl w:val="1"/>
          <w:numId w:val="7"/>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卖方保证合同设备（备件）是全新的、技术上先进的、质量上优越的、没有设计、材料及工艺上的缺陷、适合于合同规定的用途和目的并且符合规定。</w:t>
      </w:r>
    </w:p>
    <w:p>
      <w:pPr>
        <w:numPr>
          <w:ilvl w:val="1"/>
          <w:numId w:val="7"/>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卖方保证所交付的资料应是完整的、清楚的和正确的，并且能够满足合同材料使用、检测、验收要求。</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5     迟交违约</w:t>
      </w:r>
    </w:p>
    <w:p>
      <w:pPr>
        <w:numPr>
          <w:ilvl w:val="1"/>
          <w:numId w:val="8"/>
        </w:numPr>
        <w:tabs>
          <w:tab w:val="left" w:pos="840"/>
          <w:tab w:val="clear" w:pos="480"/>
        </w:tabs>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除非因不可抗力，如果卖方未能及时交货（付），卖方应按以下比例和方式支付迟交违约金：</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迟交的第一周，每天支付的违约金为合同金额的1％；</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从迟交的第二周到第三周，每天支付的违约金为合同设备金额的1.2％；</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迟交三周以上的，每天支付的违约金为合同设备金额的1.5％。</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违约金总额不超过合同金额的20％。</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迟交违约金的支付并不能免除卖方继续交付相关合同材料的义务。</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6     索  赔</w:t>
      </w:r>
    </w:p>
    <w:p>
      <w:pPr>
        <w:numPr>
          <w:ilvl w:val="1"/>
          <w:numId w:val="10"/>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如果合同设备（备件）在检验、性能考核和保证期内由于卖方的原因未能达到合同规定的技术指标，买方有权向卖方提出索赔，并且卖方应经买方同意以下列方式进行理赔：</w:t>
      </w:r>
    </w:p>
    <w:p>
      <w:pPr>
        <w:numPr>
          <w:ilvl w:val="2"/>
          <w:numId w:val="11"/>
        </w:numPr>
        <w:tabs>
          <w:tab w:val="left" w:pos="840"/>
          <w:tab w:val="clear" w:pos="72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同意拒收货物和退还合同价款，并且承担相关的损失和费用包括利息、银行费用、运费、保费、检验费、仓储费、装卸费以及其它保管和维护被拒收货物必需的费用。</w:t>
      </w:r>
    </w:p>
    <w:p>
      <w:pPr>
        <w:numPr>
          <w:ilvl w:val="2"/>
          <w:numId w:val="11"/>
        </w:numPr>
        <w:tabs>
          <w:tab w:val="left" w:pos="840"/>
          <w:tab w:val="clear" w:pos="72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按质量低劣的程度、买方受损害的程度及损失的多少对材料进行降价，如果无法使用卖方必须无条件更换新材料；</w:t>
      </w:r>
    </w:p>
    <w:p>
      <w:pPr>
        <w:numPr>
          <w:ilvl w:val="1"/>
          <w:numId w:val="10"/>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如果卖方在收到买方索赔要求后，未在买方要求的期限内未能做出回复，该索赔要求将被视为已被卖方接受。</w:t>
      </w:r>
    </w:p>
    <w:p>
      <w:pPr>
        <w:numPr>
          <w:ilvl w:val="1"/>
          <w:numId w:val="10"/>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如果卖方在收到买方索赔通知未按买方要求的期限内未能按照上述一种或多种方法以买方同意的方式解决买方的索赔，买方有权从议付款项中扣除索赔金额。</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7     不可抗力</w:t>
      </w:r>
    </w:p>
    <w:p>
      <w:pPr>
        <w:numPr>
          <w:ilvl w:val="1"/>
          <w:numId w:val="12"/>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任何一方当事人受战争、严重的火灾、水灾、台风、地震、洪水以及其他不能控制、不能避免且不能克服的事件的影响而无法执行合同，受影响的一方当事人应以电传或传真方式通知另一方当事人并应在不可抗力事件发生后14天内以航空挂号信将有关当局出具的证明文件提交给另一方当事人。</w:t>
      </w:r>
    </w:p>
    <w:p>
      <w:pPr>
        <w:numPr>
          <w:ilvl w:val="1"/>
          <w:numId w:val="12"/>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受不可抗力事件影响的一方当事人对于不可抗力事件导致的合同义务的迟延履行或履行不能不承担任何责任。但该方当事人应尽快以电传或传真的方式将不可抗力事件结束或消除的情况通知另一方当事人。</w:t>
      </w:r>
    </w:p>
    <w:p>
      <w:pPr>
        <w:numPr>
          <w:ilvl w:val="1"/>
          <w:numId w:val="12"/>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双方当事人应在不可抗力事件结束或其影响消除后立即继续履行其合同义务，合同期限也应相应延长。</w:t>
      </w:r>
      <w:r>
        <w:rPr>
          <w:rFonts w:hint="eastAsia" w:cs="宋体" w:asciiTheme="minorEastAsia" w:hAnsiTheme="minorEastAsia" w:eastAsiaTheme="minorEastAsia"/>
          <w:kern w:val="0"/>
          <w:sz w:val="28"/>
          <w:szCs w:val="28"/>
        </w:rPr>
        <w:t>如果不可抗力事件的影响持续超过</w:t>
      </w:r>
      <w:r>
        <w:rPr>
          <w:rFonts w:cs="宋体" w:asciiTheme="minorEastAsia" w:hAnsiTheme="minorEastAsia" w:eastAsiaTheme="minorEastAsia"/>
          <w:kern w:val="0"/>
          <w:sz w:val="28"/>
          <w:szCs w:val="28"/>
        </w:rPr>
        <w:t>60</w:t>
      </w:r>
      <w:r>
        <w:rPr>
          <w:rFonts w:hint="eastAsia" w:cs="宋体" w:asciiTheme="minorEastAsia" w:hAnsiTheme="minorEastAsia" w:eastAsiaTheme="minorEastAsia"/>
          <w:kern w:val="0"/>
          <w:sz w:val="28"/>
          <w:szCs w:val="28"/>
        </w:rPr>
        <w:t>天，任何一方当事人均有权终止合同并互不承担责任。</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8     税  费</w:t>
      </w:r>
    </w:p>
    <w:p>
      <w:pPr>
        <w:numPr>
          <w:ilvl w:val="1"/>
          <w:numId w:val="13"/>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中国政府根据中国税法对买方征收的与执行合同有关的一切税费，均应由买方负担。</w:t>
      </w:r>
    </w:p>
    <w:p>
      <w:pPr>
        <w:numPr>
          <w:ilvl w:val="1"/>
          <w:numId w:val="13"/>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中国政府根据中国税法对卖方征收的与执行合同有关的一切税费，均应由卖方负担</w:t>
      </w:r>
    </w:p>
    <w:p>
      <w:pPr>
        <w:numPr>
          <w:ilvl w:val="1"/>
          <w:numId w:val="13"/>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在中国境外发生的与执行合同有关的一切税费，均由卖方负担。</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9    诉  讼</w:t>
      </w:r>
    </w:p>
    <w:p>
      <w:pPr>
        <w:numPr>
          <w:ilvl w:val="1"/>
          <w:numId w:val="14"/>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因执行本合同所发生的和与本合同有关的一切争议将由双方当事人通过友好协商解决。如果不能协商一致，应将争议提交合同签订地人民法院解决。</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10    合同生效及其他</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本合同经双方法定代表人或授权代表签字盖章后生效。</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合同到期后，合同项下任何尚未了结的债权和债务不受合同到期的影响。债务人仍有义务向债权人履行其义务。</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本合同一式    份，双方当事人各执     份。</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本合同的附件为本合同不可分割的组成部分，并具有与合同正文同样的法律效力。如果附件与合同正文不一致，合同正文效力优先。</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对本合同条款的任何补充、增添或修改应以书面方式进行并由双方授权代表签字。</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没有另一方当事人的事先同意，任何一方当事人不得将合同项下的任何权利和义务转让给第三方。</w:t>
      </w:r>
    </w:p>
    <w:p>
      <w:pPr>
        <w:numPr>
          <w:ilvl w:val="1"/>
          <w:numId w:val="15"/>
        </w:numPr>
        <w:tabs>
          <w:tab w:val="left" w:pos="840"/>
          <w:tab w:val="clear" w:pos="480"/>
        </w:tabs>
        <w:spacing w:line="30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合同签订地：衡阳华菱钢管（连轧管）有限公司。</w:t>
      </w: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pStyle w:val="35"/>
        <w:rPr>
          <w:rFonts w:asciiTheme="minorEastAsia" w:hAnsiTheme="minorEastAsia" w:eastAsiaTheme="minorEastAsia"/>
          <w:b w:val="0"/>
          <w:sz w:val="28"/>
          <w:szCs w:val="28"/>
        </w:rPr>
      </w:pPr>
      <w:r>
        <w:rPr>
          <w:rFonts w:asciiTheme="minorEastAsia" w:hAnsiTheme="minorEastAsia" w:eastAsiaTheme="minorEastAsia"/>
          <w:sz w:val="28"/>
          <w:szCs w:val="28"/>
        </w:rPr>
        <w:br w:type="page"/>
      </w:r>
      <w:bookmarkStart w:id="14" w:name="_Toc300678565"/>
      <w:bookmarkStart w:id="15" w:name="_Toc303864998"/>
    </w:p>
    <w:p>
      <w:pPr>
        <w:widowControl/>
        <w:jc w:val="left"/>
        <w:rPr>
          <w:rFonts w:asciiTheme="minorEastAsia" w:hAnsiTheme="minorEastAsia" w:eastAsiaTheme="minorEastAsia"/>
          <w:b/>
          <w:sz w:val="28"/>
          <w:szCs w:val="28"/>
        </w:rPr>
      </w:pPr>
    </w:p>
    <w:p>
      <w:pPr>
        <w:widowControl/>
        <w:jc w:val="left"/>
        <w:rPr>
          <w:rFonts w:asciiTheme="minorEastAsia" w:hAnsiTheme="minorEastAsia" w:eastAsiaTheme="minorEastAsia"/>
          <w:b/>
          <w:sz w:val="28"/>
          <w:szCs w:val="28"/>
        </w:rPr>
      </w:pPr>
    </w:p>
    <w:p>
      <w:pPr>
        <w:widowControl/>
        <w:ind w:firstLine="2901" w:firstLineChars="344"/>
        <w:jc w:val="left"/>
        <w:rPr>
          <w:rFonts w:asciiTheme="minorEastAsia" w:hAnsiTheme="minorEastAsia" w:eastAsiaTheme="minorEastAsia"/>
          <w:b/>
          <w:sz w:val="84"/>
          <w:szCs w:val="84"/>
        </w:rPr>
      </w:pPr>
      <w:r>
        <w:rPr>
          <w:rFonts w:hint="eastAsia" w:asciiTheme="minorEastAsia" w:hAnsiTheme="minorEastAsia" w:eastAsiaTheme="minorEastAsia"/>
          <w:b/>
          <w:kern w:val="0"/>
          <w:sz w:val="84"/>
          <w:szCs w:val="84"/>
        </w:rPr>
        <w:t>投标文件</w:t>
      </w:r>
    </w:p>
    <w:p>
      <w:pPr>
        <w:pStyle w:val="35"/>
        <w:rPr>
          <w:rFonts w:asciiTheme="minorEastAsia" w:hAnsiTheme="minorEastAsia" w:eastAsiaTheme="minorEastAsia"/>
          <w:kern w:val="0"/>
          <w:sz w:val="28"/>
          <w:szCs w:val="28"/>
        </w:rPr>
      </w:pPr>
    </w:p>
    <w:p>
      <w:pPr>
        <w:pStyle w:val="2"/>
        <w:jc w:val="center"/>
        <w:rPr>
          <w:rFonts w:asciiTheme="minorEastAsia" w:hAnsiTheme="minorEastAsia" w:eastAsiaTheme="minorEastAsia"/>
          <w:b w:val="0"/>
          <w:sz w:val="28"/>
          <w:szCs w:val="28"/>
        </w:rPr>
      </w:pPr>
    </w:p>
    <w:p>
      <w:pPr>
        <w:rPr>
          <w:rFonts w:asciiTheme="minorEastAsia" w:hAnsiTheme="minorEastAsia" w:eastAsiaTheme="minorEastAsia"/>
        </w:rPr>
      </w:pPr>
    </w:p>
    <w:p>
      <w:pPr>
        <w:rPr>
          <w:rFonts w:asciiTheme="minorEastAsia" w:hAnsiTheme="minorEastAsia" w:eastAsiaTheme="minorEastAsia"/>
        </w:rPr>
      </w:pPr>
    </w:p>
    <w:p>
      <w:pPr>
        <w:jc w:val="left"/>
        <w:rPr>
          <w:rFonts w:asciiTheme="minorEastAsia" w:hAnsiTheme="minorEastAsia" w:eastAsiaTheme="minorEastAsia"/>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bookmarkEnd w:id="14"/>
    <w:bookmarkEnd w:id="15"/>
    <w:p>
      <w:pPr>
        <w:spacing w:line="360" w:lineRule="auto"/>
        <w:jc w:val="left"/>
        <w:rPr>
          <w:rFonts w:asciiTheme="minorEastAsia" w:hAnsiTheme="minorEastAsia" w:eastAsiaTheme="minorEastAsia"/>
          <w:sz w:val="28"/>
          <w:szCs w:val="28"/>
        </w:rPr>
      </w:pPr>
    </w:p>
    <w:p>
      <w:pPr>
        <w:widowControl/>
        <w:rPr>
          <w:rFonts w:asciiTheme="minorEastAsia" w:hAnsiTheme="minorEastAsia" w:eastAsiaTheme="minorEastAsia"/>
          <w:kern w:val="0"/>
          <w:sz w:val="28"/>
          <w:szCs w:val="28"/>
        </w:rPr>
      </w:pPr>
    </w:p>
    <w:p>
      <w:pPr>
        <w:ind w:firstLine="832" w:firstLineChars="296"/>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项目编号：HG</w:t>
      </w:r>
      <w:r>
        <w:rPr>
          <w:rFonts w:hint="eastAsia" w:asciiTheme="minorEastAsia" w:hAnsiTheme="minorEastAsia" w:eastAsiaTheme="minorEastAsia"/>
          <w:b/>
          <w:sz w:val="28"/>
          <w:szCs w:val="28"/>
          <w:lang w:val="en-US" w:eastAsia="zh-CN"/>
        </w:rPr>
        <w:t>CGY22014</w:t>
      </w:r>
    </w:p>
    <w:p>
      <w:pPr>
        <w:widowControl/>
        <w:ind w:firstLine="843" w:firstLineChars="300"/>
        <w:jc w:val="both"/>
        <w:rPr>
          <w:rFonts w:asciiTheme="minorEastAsia" w:hAnsiTheme="minorEastAsia" w:eastAsiaTheme="minorEastAsia"/>
          <w:b/>
          <w:kern w:val="0"/>
          <w:sz w:val="28"/>
          <w:szCs w:val="28"/>
        </w:rPr>
      </w:pPr>
      <w:r>
        <w:rPr>
          <w:rFonts w:hint="eastAsia" w:asciiTheme="minorEastAsia" w:hAnsiTheme="minorEastAsia" w:eastAsiaTheme="minorEastAsia"/>
          <w:b/>
          <w:bCs/>
          <w:sz w:val="28"/>
          <w:szCs w:val="28"/>
        </w:rPr>
        <w:t>项目名称：</w:t>
      </w:r>
      <w:r>
        <w:rPr>
          <w:rFonts w:hint="eastAsia" w:ascii="仿宋" w:hAnsi="仿宋" w:eastAsia="仿宋"/>
          <w:b/>
          <w:bCs/>
          <w:sz w:val="32"/>
          <w:szCs w:val="32"/>
        </w:rPr>
        <w:t>202</w:t>
      </w:r>
      <w:r>
        <w:rPr>
          <w:rFonts w:hint="eastAsia" w:ascii="仿宋" w:hAnsi="仿宋" w:eastAsia="仿宋"/>
          <w:b/>
          <w:bCs/>
          <w:sz w:val="32"/>
          <w:szCs w:val="32"/>
          <w:lang w:val="en-US" w:eastAsia="zh-CN"/>
        </w:rPr>
        <w:t>2</w:t>
      </w:r>
      <w:r>
        <w:rPr>
          <w:rFonts w:hint="eastAsia" w:ascii="仿宋" w:hAnsi="仿宋" w:eastAsia="仿宋"/>
          <w:b/>
          <w:bCs/>
          <w:sz w:val="32"/>
          <w:szCs w:val="32"/>
        </w:rPr>
        <w:t>年</w:t>
      </w:r>
      <w:r>
        <w:rPr>
          <w:rFonts w:hint="eastAsia" w:ascii="仿宋" w:hAnsi="仿宋" w:eastAsia="仿宋"/>
          <w:b/>
          <w:bCs/>
          <w:sz w:val="32"/>
          <w:szCs w:val="32"/>
          <w:lang w:val="en-US" w:eastAsia="zh-CN"/>
        </w:rPr>
        <w:t>2-5</w:t>
      </w:r>
      <w:r>
        <w:rPr>
          <w:rFonts w:hint="eastAsia" w:ascii="仿宋" w:hAnsi="仿宋" w:eastAsia="仿宋"/>
          <w:b/>
          <w:bCs/>
          <w:sz w:val="32"/>
          <w:szCs w:val="32"/>
        </w:rPr>
        <w:t>月</w:t>
      </w:r>
      <w:r>
        <w:rPr>
          <w:rFonts w:hint="eastAsia" w:ascii="仿宋" w:hAnsi="仿宋" w:eastAsia="仿宋"/>
          <w:b/>
          <w:bCs/>
          <w:sz w:val="32"/>
          <w:szCs w:val="32"/>
          <w:lang w:eastAsia="zh-CN"/>
        </w:rPr>
        <w:t>镁砂</w:t>
      </w:r>
      <w:r>
        <w:rPr>
          <w:rFonts w:hint="eastAsia" w:ascii="仿宋" w:hAnsi="仿宋" w:eastAsia="仿宋"/>
          <w:b/>
          <w:bCs/>
          <w:sz w:val="32"/>
          <w:szCs w:val="32"/>
        </w:rPr>
        <w:t>采购项目</w:t>
      </w:r>
    </w:p>
    <w:p>
      <w:pPr>
        <w:widowControl/>
        <w:jc w:val="center"/>
        <w:rPr>
          <w:rFonts w:asciiTheme="minorEastAsia" w:hAnsiTheme="minorEastAsia" w:eastAsiaTheme="minorEastAsia"/>
          <w:b/>
          <w:kern w:val="0"/>
          <w:sz w:val="28"/>
          <w:szCs w:val="28"/>
        </w:rPr>
      </w:pPr>
    </w:p>
    <w:p>
      <w:pPr>
        <w:widowControl/>
        <w:jc w:val="center"/>
        <w:rPr>
          <w:rFonts w:asciiTheme="minorEastAsia" w:hAnsiTheme="minorEastAsia" w:eastAsiaTheme="minorEastAsia"/>
          <w:b/>
          <w:sz w:val="28"/>
          <w:szCs w:val="28"/>
        </w:rPr>
      </w:pPr>
    </w:p>
    <w:p>
      <w:pPr>
        <w:widowControl/>
        <w:jc w:val="center"/>
        <w:rPr>
          <w:rFonts w:asciiTheme="minorEastAsia" w:hAnsiTheme="minorEastAsia" w:eastAsiaTheme="minorEastAsia"/>
          <w:b/>
          <w:sz w:val="28"/>
          <w:szCs w:val="28"/>
        </w:rPr>
      </w:pPr>
    </w:p>
    <w:p>
      <w:pPr>
        <w:widowControl/>
        <w:jc w:val="center"/>
        <w:rPr>
          <w:rFonts w:asciiTheme="minorEastAsia" w:hAnsiTheme="minorEastAsia" w:eastAsiaTheme="minorEastAsia"/>
          <w:b/>
          <w:sz w:val="28"/>
          <w:szCs w:val="28"/>
        </w:rPr>
      </w:pPr>
    </w:p>
    <w:p>
      <w:pPr>
        <w:spacing w:line="360" w:lineRule="auto"/>
        <w:jc w:val="left"/>
        <w:rPr>
          <w:rFonts w:asciiTheme="minorEastAsia" w:hAnsiTheme="minorEastAsia" w:eastAsiaTheme="minorEastAsia"/>
          <w:b/>
          <w:sz w:val="28"/>
          <w:szCs w:val="28"/>
        </w:rPr>
      </w:pPr>
    </w:p>
    <w:p>
      <w:pPr>
        <w:spacing w:line="360" w:lineRule="auto"/>
        <w:jc w:val="left"/>
        <w:rPr>
          <w:rFonts w:asciiTheme="minorEastAsia" w:hAnsiTheme="minorEastAsia" w:eastAsiaTheme="minorEastAsia"/>
          <w:b/>
          <w:sz w:val="28"/>
          <w:szCs w:val="28"/>
        </w:rPr>
      </w:pPr>
    </w:p>
    <w:p>
      <w:pPr>
        <w:widowControl/>
        <w:spacing w:line="360" w:lineRule="auto"/>
        <w:jc w:val="left"/>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 xml:space="preserve">     投标人：（盖单位公章）</w:t>
      </w:r>
    </w:p>
    <w:p>
      <w:pPr>
        <w:widowControl/>
        <w:spacing w:line="360" w:lineRule="auto"/>
        <w:ind w:firstLine="689" w:firstLineChars="245"/>
        <w:jc w:val="left"/>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法定代表人或其委托代理人： （签字或盖章）</w:t>
      </w:r>
    </w:p>
    <w:p>
      <w:pPr>
        <w:widowControl/>
        <w:spacing w:line="360" w:lineRule="auto"/>
        <w:ind w:firstLine="689" w:firstLineChars="245"/>
        <w:jc w:val="center"/>
        <w:rPr>
          <w:rFonts w:asciiTheme="minorEastAsia" w:hAnsiTheme="minorEastAsia" w:eastAsiaTheme="minorEastAsia"/>
          <w:b/>
          <w:kern w:val="0"/>
          <w:sz w:val="32"/>
          <w:szCs w:val="32"/>
        </w:rPr>
      </w:pPr>
      <w:r>
        <w:rPr>
          <w:rFonts w:hint="eastAsia" w:asciiTheme="minorEastAsia" w:hAnsiTheme="minorEastAsia" w:eastAsiaTheme="minorEastAsia"/>
          <w:b/>
          <w:kern w:val="0"/>
          <w:sz w:val="28"/>
          <w:szCs w:val="28"/>
        </w:rPr>
        <w:t>日  期：  年    月   日</w:t>
      </w:r>
      <w:bookmarkStart w:id="16" w:name="_Toc300678566"/>
      <w:r>
        <w:rPr>
          <w:rFonts w:asciiTheme="minorEastAsia" w:hAnsiTheme="minorEastAsia" w:eastAsiaTheme="minorEastAsia"/>
          <w:kern w:val="0"/>
          <w:sz w:val="28"/>
          <w:szCs w:val="28"/>
        </w:rPr>
        <w:br w:type="page"/>
      </w:r>
      <w:bookmarkEnd w:id="16"/>
      <w:bookmarkStart w:id="17" w:name="_Toc38870577"/>
      <w:bookmarkStart w:id="18" w:name="_Toc300678567"/>
      <w:r>
        <w:rPr>
          <w:rFonts w:hint="eastAsia" w:asciiTheme="minorEastAsia" w:hAnsiTheme="minorEastAsia" w:eastAsiaTheme="minorEastAsia"/>
          <w:b/>
          <w:kern w:val="0"/>
          <w:sz w:val="32"/>
          <w:szCs w:val="32"/>
        </w:rPr>
        <w:t>第一部分：投标函部分</w:t>
      </w:r>
      <w:bookmarkEnd w:id="17"/>
    </w:p>
    <w:p>
      <w:pPr>
        <w:rPr>
          <w:rFonts w:asciiTheme="minorEastAsia" w:hAnsiTheme="minorEastAsia" w:eastAsiaTheme="minorEastAsia"/>
        </w:rPr>
      </w:pPr>
    </w:p>
    <w:p>
      <w:pPr>
        <w:pStyle w:val="101"/>
        <w:numPr>
          <w:ilvl w:val="0"/>
          <w:numId w:val="16"/>
        </w:numPr>
        <w:spacing w:line="276" w:lineRule="auto"/>
        <w:ind w:firstLineChars="0"/>
        <w:rPr>
          <w:rFonts w:asciiTheme="minorEastAsia" w:hAnsiTheme="minorEastAsia" w:eastAsiaTheme="minorEastAsia"/>
          <w:sz w:val="32"/>
          <w:szCs w:val="32"/>
        </w:rPr>
      </w:pPr>
      <w:r>
        <w:fldChar w:fldCharType="begin"/>
      </w:r>
      <w:r>
        <w:instrText xml:space="preserve"> HYPERLINK \l "_Toc300678567" </w:instrText>
      </w:r>
      <w:r>
        <w:fldChar w:fldCharType="separate"/>
      </w:r>
      <w:r>
        <w:rPr>
          <w:rStyle w:val="43"/>
          <w:rFonts w:hint="eastAsia" w:asciiTheme="minorEastAsia" w:hAnsiTheme="minorEastAsia" w:eastAsiaTheme="minorEastAsia"/>
          <w:color w:val="auto"/>
          <w:sz w:val="32"/>
          <w:szCs w:val="32"/>
          <w:u w:val="none"/>
        </w:rPr>
        <w:t>投标函</w:t>
      </w:r>
      <w:r>
        <w:rPr>
          <w:rStyle w:val="43"/>
          <w:rFonts w:hint="eastAsia" w:asciiTheme="minorEastAsia" w:hAnsiTheme="minorEastAsia" w:eastAsiaTheme="minorEastAsia"/>
          <w:color w:val="auto"/>
          <w:sz w:val="32"/>
          <w:szCs w:val="32"/>
          <w:u w:val="none"/>
        </w:rPr>
        <w:fldChar w:fldCharType="end"/>
      </w:r>
    </w:p>
    <w:p>
      <w:pPr>
        <w:pStyle w:val="101"/>
        <w:numPr>
          <w:ilvl w:val="0"/>
          <w:numId w:val="16"/>
        </w:numPr>
        <w:spacing w:line="276" w:lineRule="auto"/>
        <w:ind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营业执照（复印件）</w:t>
      </w:r>
    </w:p>
    <w:p>
      <w:pPr>
        <w:spacing w:line="276" w:lineRule="auto"/>
        <w:ind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rPr>
        <w:t>三、</w:t>
      </w:r>
      <w:r>
        <w:fldChar w:fldCharType="begin"/>
      </w:r>
      <w:r>
        <w:instrText xml:space="preserve"> HYPERLINK \l "_Toc300678570" </w:instrText>
      </w:r>
      <w:r>
        <w:fldChar w:fldCharType="separate"/>
      </w:r>
      <w:r>
        <w:rPr>
          <w:rStyle w:val="43"/>
          <w:rFonts w:hint="eastAsia" w:asciiTheme="minorEastAsia" w:hAnsiTheme="minorEastAsia" w:eastAsiaTheme="minorEastAsia"/>
          <w:color w:val="auto"/>
          <w:sz w:val="32"/>
          <w:szCs w:val="32"/>
          <w:u w:val="none"/>
        </w:rPr>
        <w:t xml:space="preserve"> 法定代表人身份证明</w:t>
      </w:r>
      <w:r>
        <w:rPr>
          <w:rStyle w:val="43"/>
          <w:rFonts w:hint="eastAsia" w:asciiTheme="minorEastAsia" w:hAnsiTheme="minorEastAsia" w:eastAsiaTheme="minorEastAsia"/>
          <w:color w:val="auto"/>
          <w:sz w:val="32"/>
          <w:szCs w:val="32"/>
          <w:u w:val="none"/>
        </w:rPr>
        <w:fldChar w:fldCharType="end"/>
      </w:r>
    </w:p>
    <w:p>
      <w:pPr>
        <w:spacing w:line="276" w:lineRule="auto"/>
        <w:ind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rPr>
        <w:t>四、 授权委托书</w:t>
      </w:r>
    </w:p>
    <w:p>
      <w:pPr>
        <w:spacing w:line="276" w:lineRule="auto"/>
        <w:ind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rPr>
        <w:t>五、 投标保证金承诺函</w:t>
      </w:r>
    </w:p>
    <w:p>
      <w:pPr>
        <w:spacing w:line="400" w:lineRule="exact"/>
        <w:ind w:firstLine="320" w:firstLineChars="100"/>
        <w:rPr>
          <w:rStyle w:val="40"/>
          <w:rFonts w:hint="eastAsia" w:asciiTheme="minorEastAsia" w:hAnsiTheme="minorEastAsia" w:eastAsiaTheme="minorEastAsia"/>
          <w:b w:val="0"/>
          <w:sz w:val="32"/>
          <w:szCs w:val="32"/>
        </w:rPr>
      </w:pPr>
      <w:r>
        <w:rPr>
          <w:rStyle w:val="40"/>
          <w:rFonts w:hint="eastAsia" w:asciiTheme="minorEastAsia" w:hAnsiTheme="minorEastAsia" w:eastAsiaTheme="minorEastAsia"/>
          <w:b w:val="0"/>
          <w:sz w:val="32"/>
          <w:szCs w:val="32"/>
        </w:rPr>
        <w:t>六、 标书付费凭证</w:t>
      </w:r>
    </w:p>
    <w:p>
      <w:pPr>
        <w:spacing w:line="400" w:lineRule="exact"/>
        <w:ind w:firstLine="320" w:firstLineChars="100"/>
        <w:rPr>
          <w:rFonts w:asciiTheme="minorEastAsia" w:hAnsiTheme="minorEastAsia" w:eastAsiaTheme="minorEastAsia"/>
          <w:sz w:val="32"/>
          <w:szCs w:val="32"/>
        </w:rPr>
      </w:pPr>
      <w:r>
        <w:rPr>
          <w:rStyle w:val="40"/>
          <w:rFonts w:hint="eastAsia" w:asciiTheme="minorEastAsia" w:hAnsiTheme="minorEastAsia" w:eastAsiaTheme="minorEastAsia"/>
          <w:b w:val="0"/>
          <w:sz w:val="32"/>
          <w:szCs w:val="32"/>
        </w:rPr>
        <w:t>七、 投标单位</w:t>
      </w:r>
      <w:r>
        <w:rPr>
          <w:rFonts w:hint="eastAsia" w:asciiTheme="minorEastAsia" w:hAnsiTheme="minorEastAsia" w:eastAsiaTheme="minorEastAsia"/>
          <w:sz w:val="32"/>
          <w:szCs w:val="32"/>
        </w:rPr>
        <w:t>开票信息表</w:t>
      </w:r>
    </w:p>
    <w:p>
      <w:pPr>
        <w:spacing w:line="276" w:lineRule="auto"/>
        <w:ind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八、 其他资格证明材料 </w:t>
      </w:r>
    </w:p>
    <w:p>
      <w:pPr>
        <w:widowControl/>
        <w:spacing w:before="156" w:after="312" w:line="420" w:lineRule="atLeast"/>
        <w:ind w:firstLine="703" w:firstLineChars="250"/>
        <w:rPr>
          <w:rStyle w:val="43"/>
          <w:rFonts w:asciiTheme="minorEastAsia" w:hAnsiTheme="minorEastAsia" w:eastAsiaTheme="minorEastAsia"/>
          <w:b/>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pStyle w:val="3"/>
        <w:spacing w:before="0" w:after="0" w:line="360" w:lineRule="auto"/>
        <w:jc w:val="center"/>
        <w:rPr>
          <w:rFonts w:asciiTheme="minorEastAsia" w:hAnsiTheme="minorEastAsia" w:eastAsiaTheme="minorEastAsia"/>
          <w:b w:val="0"/>
          <w:bCs w:val="0"/>
          <w:sz w:val="30"/>
          <w:szCs w:val="30"/>
        </w:rPr>
      </w:pPr>
      <w:bookmarkStart w:id="19" w:name="_Toc1544818"/>
      <w:bookmarkStart w:id="20" w:name="_Toc303865000"/>
      <w:r>
        <w:rPr>
          <w:rFonts w:hint="eastAsia" w:asciiTheme="minorEastAsia" w:hAnsiTheme="minorEastAsia" w:eastAsiaTheme="minorEastAsia"/>
          <w:b w:val="0"/>
          <w:bCs w:val="0"/>
          <w:sz w:val="30"/>
          <w:szCs w:val="30"/>
        </w:rPr>
        <w:t>一、投标函</w:t>
      </w:r>
      <w:bookmarkEnd w:id="18"/>
      <w:bookmarkEnd w:id="19"/>
      <w:bookmarkEnd w:id="20"/>
    </w:p>
    <w:p>
      <w:pPr>
        <w:spacing w:line="320" w:lineRule="atLeas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衡阳华菱钢管/连轧管有限公司</w:t>
      </w:r>
    </w:p>
    <w:p>
      <w:pPr>
        <w:spacing w:line="440" w:lineRule="exact"/>
        <w:ind w:firstLine="702" w:firstLineChars="251"/>
        <w:rPr>
          <w:rFonts w:asciiTheme="minorEastAsia" w:hAnsiTheme="minorEastAsia" w:eastAsiaTheme="minorEastAsia"/>
          <w:sz w:val="28"/>
          <w:szCs w:val="28"/>
        </w:rPr>
      </w:pPr>
    </w:p>
    <w:p>
      <w:pPr>
        <w:spacing w:line="320" w:lineRule="atLeast"/>
        <w:ind w:right="1415" w:rightChars="674" w:firstLine="840" w:firstLineChars="300"/>
        <w:rPr>
          <w:rFonts w:asciiTheme="minorEastAsia" w:hAnsiTheme="minorEastAsia" w:eastAsiaTheme="minorEastAsia"/>
          <w:sz w:val="28"/>
          <w:szCs w:val="28"/>
        </w:rPr>
      </w:pPr>
      <w:r>
        <w:rPr>
          <w:rFonts w:asciiTheme="minorEastAsia" w:hAnsiTheme="minorEastAsia" w:eastAsiaTheme="minorEastAsia"/>
          <w:sz w:val="28"/>
          <w:szCs w:val="28"/>
        </w:rPr>
        <w:t>根据贵方</w:t>
      </w:r>
      <w:r>
        <w:rPr>
          <w:rFonts w:hint="eastAsia" w:ascii="仿宋" w:hAnsi="仿宋" w:eastAsia="仿宋"/>
          <w:b/>
          <w:bCs/>
          <w:sz w:val="32"/>
          <w:szCs w:val="32"/>
        </w:rPr>
        <w:t>202</w:t>
      </w:r>
      <w:r>
        <w:rPr>
          <w:rFonts w:hint="eastAsia" w:ascii="仿宋" w:hAnsi="仿宋" w:eastAsia="仿宋"/>
          <w:b/>
          <w:bCs/>
          <w:sz w:val="32"/>
          <w:szCs w:val="32"/>
          <w:lang w:val="en-US" w:eastAsia="zh-CN"/>
        </w:rPr>
        <w:t>2</w:t>
      </w:r>
      <w:r>
        <w:rPr>
          <w:rFonts w:hint="eastAsia" w:ascii="仿宋" w:hAnsi="仿宋" w:eastAsia="仿宋"/>
          <w:b/>
          <w:bCs/>
          <w:sz w:val="32"/>
          <w:szCs w:val="32"/>
        </w:rPr>
        <w:t>年</w:t>
      </w:r>
      <w:r>
        <w:rPr>
          <w:rFonts w:hint="eastAsia" w:ascii="仿宋" w:hAnsi="仿宋" w:eastAsia="仿宋"/>
          <w:b/>
          <w:bCs/>
          <w:sz w:val="32"/>
          <w:szCs w:val="32"/>
          <w:lang w:val="en-US" w:eastAsia="zh-CN"/>
        </w:rPr>
        <w:t>2-5</w:t>
      </w:r>
      <w:r>
        <w:rPr>
          <w:rFonts w:hint="eastAsia" w:ascii="仿宋" w:hAnsi="仿宋" w:eastAsia="仿宋"/>
          <w:b/>
          <w:bCs/>
          <w:sz w:val="32"/>
          <w:szCs w:val="32"/>
        </w:rPr>
        <w:t>月</w:t>
      </w:r>
      <w:r>
        <w:rPr>
          <w:rFonts w:hint="eastAsia" w:ascii="仿宋" w:hAnsi="仿宋" w:eastAsia="仿宋"/>
          <w:b/>
          <w:bCs/>
          <w:sz w:val="32"/>
          <w:szCs w:val="32"/>
          <w:lang w:eastAsia="zh-CN"/>
        </w:rPr>
        <w:t>镁砂</w:t>
      </w:r>
      <w:r>
        <w:rPr>
          <w:rFonts w:hint="eastAsia" w:ascii="仿宋" w:hAnsi="仿宋" w:eastAsia="仿宋"/>
          <w:b/>
          <w:bCs/>
          <w:sz w:val="32"/>
          <w:szCs w:val="32"/>
        </w:rPr>
        <w:t>采购项目</w:t>
      </w:r>
      <w:r>
        <w:rPr>
          <w:rFonts w:asciiTheme="minorEastAsia" w:hAnsiTheme="minorEastAsia" w:eastAsiaTheme="minorEastAsia"/>
          <w:sz w:val="28"/>
          <w:szCs w:val="28"/>
        </w:rPr>
        <w:t>的</w:t>
      </w:r>
      <w:r>
        <w:rPr>
          <w:rFonts w:hint="eastAsia" w:asciiTheme="minorEastAsia" w:hAnsiTheme="minorEastAsia" w:eastAsiaTheme="minorEastAsia"/>
          <w:sz w:val="28"/>
          <w:szCs w:val="28"/>
        </w:rPr>
        <w:t>招标文件，项目</w:t>
      </w:r>
      <w:r>
        <w:rPr>
          <w:rFonts w:asciiTheme="minorEastAsia" w:hAnsiTheme="minorEastAsia" w:eastAsiaTheme="minorEastAsia"/>
          <w:sz w:val="28"/>
          <w:szCs w:val="28"/>
        </w:rPr>
        <w:t>编号</w:t>
      </w:r>
      <w:r>
        <w:rPr>
          <w:rFonts w:asciiTheme="minorEastAsia" w:hAnsiTheme="minorEastAsia" w:eastAsiaTheme="minorEastAsia"/>
          <w:sz w:val="28"/>
          <w:szCs w:val="28"/>
          <w:u w:val="single"/>
        </w:rPr>
        <w:t>_</w:t>
      </w:r>
      <w:r>
        <w:rPr>
          <w:rFonts w:hint="eastAsia" w:asciiTheme="minorEastAsia" w:hAnsiTheme="minorEastAsia" w:eastAsiaTheme="minorEastAsia"/>
          <w:sz w:val="28"/>
          <w:szCs w:val="28"/>
          <w:u w:val="single"/>
        </w:rPr>
        <w:t>HG</w:t>
      </w:r>
      <w:r>
        <w:rPr>
          <w:rFonts w:hint="eastAsia" w:asciiTheme="minorEastAsia" w:hAnsiTheme="minorEastAsia" w:eastAsiaTheme="minorEastAsia"/>
          <w:sz w:val="28"/>
          <w:szCs w:val="28"/>
          <w:u w:val="single"/>
          <w:lang w:val="en-US" w:eastAsia="zh-CN"/>
        </w:rPr>
        <w:t>CGY22014</w:t>
      </w:r>
      <w:r>
        <w:rPr>
          <w:rFonts w:asciiTheme="minorEastAsia" w:hAnsiTheme="minorEastAsia" w:eastAsiaTheme="minorEastAsia"/>
          <w:sz w:val="28"/>
          <w:szCs w:val="28"/>
        </w:rPr>
        <w:t>，</w:t>
      </w:r>
      <w:r>
        <w:rPr>
          <w:rFonts w:hint="eastAsia" w:asciiTheme="minorEastAsia" w:hAnsiTheme="minorEastAsia" w:eastAsiaTheme="minorEastAsia"/>
          <w:sz w:val="28"/>
          <w:szCs w:val="28"/>
        </w:rPr>
        <w:t>我方进行了认真研究，并对采购货物使用地点及工况环境进行实地了解，在充分研究上述招标文件的投标人须知、评标办法、技术规格书、合同条款及格式、投标文件范本等有关文件后，据此函，我方郑重承诺声明如下：</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hint="eastAsia" w:asciiTheme="minorEastAsia" w:hAnsiTheme="minorEastAsia" w:eastAsiaTheme="minorEastAsia"/>
          <w:sz w:val="28"/>
          <w:szCs w:val="28"/>
        </w:rPr>
        <w:t>我方已详细审阅招标文件各组成部分，认可贵方招标文件及相应文件的各项规定和要求且积极愿意参加上述招标项目投标。</w:t>
      </w:r>
    </w:p>
    <w:p>
      <w:pPr>
        <w:numPr>
          <w:ilvl w:val="1"/>
          <w:numId w:val="17"/>
        </w:num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我</w:t>
      </w:r>
      <w:r>
        <w:rPr>
          <w:rFonts w:hint="eastAsia" w:asciiTheme="minorEastAsia" w:hAnsiTheme="minorEastAsia" w:eastAsiaTheme="minorEastAsia"/>
          <w:sz w:val="28"/>
          <w:szCs w:val="28"/>
        </w:rPr>
        <w:t>方将按</w:t>
      </w:r>
      <w:r>
        <w:rPr>
          <w:rFonts w:asciiTheme="minorEastAsia" w:hAnsiTheme="minorEastAsia" w:eastAsiaTheme="minorEastAsia"/>
          <w:sz w:val="28"/>
          <w:szCs w:val="28"/>
        </w:rPr>
        <w:t>招标文件</w:t>
      </w:r>
      <w:r>
        <w:rPr>
          <w:rFonts w:hint="eastAsia" w:asciiTheme="minorEastAsia" w:hAnsiTheme="minorEastAsia" w:eastAsiaTheme="minorEastAsia"/>
          <w:sz w:val="28"/>
          <w:szCs w:val="28"/>
        </w:rPr>
        <w:t>的</w:t>
      </w:r>
      <w:r>
        <w:rPr>
          <w:rFonts w:asciiTheme="minorEastAsia" w:hAnsiTheme="minorEastAsia" w:eastAsiaTheme="minorEastAsia"/>
          <w:sz w:val="28"/>
          <w:szCs w:val="28"/>
        </w:rPr>
        <w:t>规定</w:t>
      </w:r>
      <w:r>
        <w:rPr>
          <w:rFonts w:hint="eastAsia" w:asciiTheme="minorEastAsia" w:hAnsiTheme="minorEastAsia" w:eastAsiaTheme="minorEastAsia"/>
          <w:sz w:val="28"/>
          <w:szCs w:val="28"/>
        </w:rPr>
        <w:t>履行合同</w:t>
      </w:r>
      <w:r>
        <w:rPr>
          <w:rFonts w:asciiTheme="minorEastAsia" w:hAnsiTheme="minorEastAsia" w:eastAsiaTheme="minorEastAsia"/>
          <w:sz w:val="28"/>
          <w:szCs w:val="28"/>
        </w:rPr>
        <w:t>责任</w:t>
      </w:r>
      <w:r>
        <w:rPr>
          <w:rFonts w:hint="eastAsia" w:asciiTheme="minorEastAsia" w:hAnsiTheme="minorEastAsia" w:eastAsiaTheme="minorEastAsia"/>
          <w:sz w:val="28"/>
          <w:szCs w:val="28"/>
        </w:rPr>
        <w:t>和</w:t>
      </w:r>
      <w:r>
        <w:rPr>
          <w:rFonts w:asciiTheme="minorEastAsia" w:hAnsiTheme="minorEastAsia" w:eastAsiaTheme="minorEastAsia"/>
          <w:sz w:val="28"/>
          <w:szCs w:val="28"/>
        </w:rPr>
        <w:t>义务</w:t>
      </w:r>
      <w:r>
        <w:rPr>
          <w:rFonts w:hint="eastAsia" w:asciiTheme="minorEastAsia" w:hAnsiTheme="minorEastAsia" w:eastAsiaTheme="minorEastAsia"/>
          <w:sz w:val="28"/>
          <w:szCs w:val="28"/>
        </w:rPr>
        <w:t>。</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hint="eastAsia" w:asciiTheme="minorEastAsia" w:hAnsiTheme="minorEastAsia" w:eastAsiaTheme="minorEastAsia"/>
          <w:sz w:val="28"/>
          <w:szCs w:val="28"/>
        </w:rPr>
        <w:t>我方承诺投标文件中所有关于投标人资格文件材料证明、价格、生产厂家等填报内容均真实、准确。如发现与事实不符，我方承担由此产生的一切后果。</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asciiTheme="minorEastAsia" w:hAnsiTheme="minorEastAsia" w:eastAsiaTheme="minorEastAsia"/>
          <w:sz w:val="28"/>
          <w:szCs w:val="28"/>
        </w:rPr>
        <w:t>我们同意在投标须知规定的开标日期起遵循本投标文件，并在投标人须知规定的投标有效期期满之前均具约束力，并准备随时被你方接受</w:t>
      </w:r>
      <w:r>
        <w:rPr>
          <w:rFonts w:hint="eastAsia" w:asciiTheme="minorEastAsia" w:hAnsiTheme="minorEastAsia" w:eastAsiaTheme="minorEastAsia"/>
          <w:sz w:val="28"/>
          <w:szCs w:val="28"/>
        </w:rPr>
        <w:t>。</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asciiTheme="minorEastAsia" w:hAnsiTheme="minorEastAsia" w:eastAsiaTheme="minorEastAsia"/>
          <w:sz w:val="28"/>
          <w:szCs w:val="28"/>
        </w:rPr>
        <w:t>如果我</w:t>
      </w:r>
      <w:r>
        <w:rPr>
          <w:rFonts w:hint="eastAsia" w:asciiTheme="minorEastAsia" w:hAnsiTheme="minorEastAsia" w:eastAsiaTheme="minorEastAsia"/>
          <w:sz w:val="28"/>
          <w:szCs w:val="28"/>
        </w:rPr>
        <w:t>方</w:t>
      </w:r>
      <w:r>
        <w:rPr>
          <w:rFonts w:asciiTheme="minorEastAsia" w:hAnsiTheme="minorEastAsia" w:eastAsiaTheme="minorEastAsia"/>
          <w:sz w:val="28"/>
          <w:szCs w:val="28"/>
        </w:rPr>
        <w:t>在规定的投标有效期内撤回投标，投标保证金可被贵方没收</w:t>
      </w:r>
      <w:r>
        <w:rPr>
          <w:rFonts w:hint="eastAsia" w:asciiTheme="minorEastAsia" w:hAnsiTheme="minorEastAsia" w:eastAsiaTheme="minorEastAsia"/>
          <w:sz w:val="28"/>
          <w:szCs w:val="28"/>
        </w:rPr>
        <w:t>。</w:t>
      </w:r>
    </w:p>
    <w:p>
      <w:pPr>
        <w:numPr>
          <w:ilvl w:val="1"/>
          <w:numId w:val="17"/>
        </w:num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我方愿意</w:t>
      </w:r>
      <w:r>
        <w:rPr>
          <w:rFonts w:asciiTheme="minorEastAsia" w:hAnsiTheme="minorEastAsia" w:eastAsiaTheme="minorEastAsia"/>
          <w:sz w:val="28"/>
          <w:szCs w:val="28"/>
        </w:rPr>
        <w:t>提供与本投标</w:t>
      </w:r>
      <w:r>
        <w:rPr>
          <w:rFonts w:hint="eastAsia" w:asciiTheme="minorEastAsia" w:hAnsiTheme="minorEastAsia" w:eastAsiaTheme="minorEastAsia"/>
          <w:sz w:val="28"/>
          <w:szCs w:val="28"/>
        </w:rPr>
        <w:t>项目</w:t>
      </w:r>
      <w:r>
        <w:rPr>
          <w:rFonts w:asciiTheme="minorEastAsia" w:hAnsiTheme="minorEastAsia" w:eastAsiaTheme="minorEastAsia"/>
          <w:sz w:val="28"/>
          <w:szCs w:val="28"/>
        </w:rPr>
        <w:t>有关的任何证据或资料</w:t>
      </w:r>
      <w:r>
        <w:rPr>
          <w:rFonts w:hint="eastAsia" w:asciiTheme="minorEastAsia" w:hAnsiTheme="minorEastAsia" w:eastAsiaTheme="minorEastAsia"/>
          <w:sz w:val="28"/>
          <w:szCs w:val="28"/>
        </w:rPr>
        <w:t>。</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asciiTheme="minorEastAsia" w:hAnsiTheme="minorEastAsia" w:eastAsiaTheme="minorEastAsia"/>
          <w:sz w:val="28"/>
          <w:szCs w:val="28"/>
        </w:rPr>
        <w:t>我</w:t>
      </w:r>
      <w:r>
        <w:rPr>
          <w:rFonts w:hint="eastAsia" w:asciiTheme="minorEastAsia" w:hAnsiTheme="minorEastAsia" w:eastAsiaTheme="minorEastAsia"/>
          <w:sz w:val="28"/>
          <w:szCs w:val="28"/>
        </w:rPr>
        <w:t>方</w:t>
      </w:r>
      <w:r>
        <w:rPr>
          <w:rFonts w:asciiTheme="minorEastAsia" w:hAnsiTheme="minorEastAsia" w:eastAsiaTheme="minorEastAsia"/>
          <w:sz w:val="28"/>
          <w:szCs w:val="28"/>
        </w:rPr>
        <w:t>完全理解贵方不一定要接受最低报价的投标</w:t>
      </w:r>
      <w:r>
        <w:rPr>
          <w:rFonts w:hint="eastAsia" w:asciiTheme="minorEastAsia" w:hAnsiTheme="minorEastAsia" w:eastAsiaTheme="minorEastAsia"/>
          <w:sz w:val="28"/>
          <w:szCs w:val="28"/>
        </w:rPr>
        <w:t>或对评标结果没有解释义务。</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hint="eastAsia" w:asciiTheme="minorEastAsia" w:hAnsiTheme="minorEastAsia" w:eastAsiaTheme="minorEastAsia"/>
          <w:sz w:val="28"/>
          <w:szCs w:val="28"/>
        </w:rPr>
        <w:t>如果我方中标，除另外达成协议并生效，贵方的中标通知书和</w:t>
      </w:r>
      <w:r>
        <w:rPr>
          <w:rFonts w:asciiTheme="minorEastAsia" w:hAnsiTheme="minorEastAsia" w:eastAsiaTheme="minorEastAsia"/>
          <w:sz w:val="28"/>
          <w:szCs w:val="28"/>
        </w:rPr>
        <w:t>本</w:t>
      </w:r>
      <w:r>
        <w:rPr>
          <w:rFonts w:hint="eastAsia" w:asciiTheme="minorEastAsia" w:hAnsiTheme="minorEastAsia" w:eastAsiaTheme="minorEastAsia"/>
          <w:sz w:val="28"/>
          <w:szCs w:val="28"/>
        </w:rPr>
        <w:t>项目</w:t>
      </w:r>
      <w:r>
        <w:rPr>
          <w:rFonts w:asciiTheme="minorEastAsia" w:hAnsiTheme="minorEastAsia" w:eastAsiaTheme="minorEastAsia"/>
          <w:sz w:val="28"/>
          <w:szCs w:val="28"/>
        </w:rPr>
        <w:t>投标文件将构成约束我们双方的合同。</w:t>
      </w:r>
      <w:r>
        <w:rPr>
          <w:rFonts w:hint="eastAsia" w:asciiTheme="minorEastAsia" w:hAnsiTheme="minorEastAsia" w:eastAsiaTheme="minorEastAsia"/>
          <w:sz w:val="28"/>
          <w:szCs w:val="28"/>
        </w:rPr>
        <w:t>我方将在规定时间内交纳中标服务费并完成同贵方签订合同事宜。</w:t>
      </w:r>
    </w:p>
    <w:p>
      <w:pPr>
        <w:spacing w:line="440" w:lineRule="exact"/>
        <w:ind w:left="1275" w:hanging="850"/>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投标人： （单位盖公章）</w:t>
      </w:r>
    </w:p>
    <w:p>
      <w:pPr>
        <w:spacing w:line="360" w:lineRule="auto"/>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法定代表人或委托代理人： （签字或盖章）</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  期：  年  月  日</w:t>
      </w:r>
      <w:bookmarkStart w:id="21" w:name="_Toc300678569"/>
    </w:p>
    <w:p>
      <w:pPr>
        <w:widowControl/>
        <w:jc w:val="left"/>
        <w:rPr>
          <w:rFonts w:asciiTheme="minorEastAsia" w:hAnsiTheme="minorEastAsia" w:eastAsiaTheme="minorEastAsia"/>
          <w:sz w:val="28"/>
          <w:szCs w:val="28"/>
        </w:rPr>
      </w:pPr>
      <w:bookmarkStart w:id="22" w:name="_Toc1544819"/>
      <w:r>
        <w:rPr>
          <w:rFonts w:asciiTheme="minorEastAsia" w:hAnsiTheme="minorEastAsia" w:eastAsiaTheme="minorEastAsia"/>
          <w:b/>
          <w:bCs/>
          <w:sz w:val="28"/>
          <w:szCs w:val="28"/>
        </w:rPr>
        <w:br w:type="page"/>
      </w:r>
    </w:p>
    <w:p>
      <w:pPr>
        <w:pStyle w:val="3"/>
        <w:spacing w:before="0" w:after="0" w:line="360" w:lineRule="auto"/>
        <w:jc w:val="center"/>
        <w:rPr>
          <w:rFonts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二、营业执照</w:t>
      </w:r>
      <w:r>
        <w:rPr>
          <w:rFonts w:hint="eastAsia" w:asciiTheme="minorEastAsia" w:hAnsiTheme="minorEastAsia" w:eastAsiaTheme="minorEastAsia"/>
          <w:sz w:val="28"/>
          <w:szCs w:val="28"/>
        </w:rPr>
        <w:t>（扫描件）</w:t>
      </w:r>
      <w:bookmarkEnd w:id="21"/>
      <w:r>
        <w:rPr>
          <w:rFonts w:asciiTheme="minorEastAsia" w:hAnsiTheme="minorEastAsia" w:eastAsiaTheme="minorEastAsia"/>
          <w:sz w:val="28"/>
          <w:szCs w:val="28"/>
        </w:rPr>
        <w:br w:type="page"/>
      </w:r>
      <w:bookmarkStart w:id="23" w:name="_Toc526861363"/>
      <w:bookmarkStart w:id="24" w:name="_Toc1544820"/>
      <w:bookmarkStart w:id="25" w:name="_Toc300678570"/>
      <w:bookmarkStart w:id="26" w:name="_Toc303865001"/>
      <w:r>
        <w:rPr>
          <w:rFonts w:hint="eastAsia" w:asciiTheme="minorEastAsia" w:hAnsiTheme="minorEastAsia" w:eastAsiaTheme="minorEastAsia"/>
          <w:b w:val="0"/>
          <w:bCs w:val="0"/>
          <w:sz w:val="28"/>
          <w:szCs w:val="28"/>
        </w:rPr>
        <w:t>三、法定代表人证明</w:t>
      </w:r>
      <w:bookmarkEnd w:id="22"/>
      <w:bookmarkEnd w:id="23"/>
      <w:bookmarkEnd w:id="24"/>
      <w:bookmarkEnd w:id="25"/>
      <w:bookmarkEnd w:id="26"/>
      <w:r>
        <w:rPr>
          <w:rFonts w:hint="eastAsia" w:asciiTheme="minorEastAsia" w:hAnsiTheme="minorEastAsia" w:eastAsiaTheme="minorEastAsia"/>
          <w:b w:val="0"/>
          <w:bCs w:val="0"/>
          <w:sz w:val="28"/>
          <w:szCs w:val="28"/>
        </w:rPr>
        <w:t>书</w:t>
      </w:r>
    </w:p>
    <w:p>
      <w:pPr>
        <w:widowControl/>
        <w:spacing w:line="400" w:lineRule="atLeast"/>
        <w:rPr>
          <w:rFonts w:asciiTheme="minorEastAsia" w:hAnsiTheme="minorEastAsia" w:eastAsiaTheme="minorEastAsia"/>
          <w:kern w:val="0"/>
          <w:sz w:val="28"/>
          <w:szCs w:val="28"/>
        </w:rPr>
      </w:pPr>
    </w:p>
    <w:p>
      <w:pPr>
        <w:spacing w:line="420" w:lineRule="exact"/>
        <w:rPr>
          <w:rFonts w:asciiTheme="minorEastAsia" w:hAnsiTheme="minorEastAsia" w:eastAsiaTheme="minorEastAsia"/>
          <w:sz w:val="28"/>
          <w:szCs w:val="28"/>
          <w:u w:val="single"/>
        </w:rPr>
      </w:pPr>
      <w:bookmarkStart w:id="27" w:name="_Toc300678571"/>
      <w:r>
        <w:rPr>
          <w:rFonts w:hint="eastAsia" w:asciiTheme="minorEastAsia" w:hAnsiTheme="minorEastAsia" w:eastAsiaTheme="minorEastAsia"/>
          <w:sz w:val="28"/>
          <w:szCs w:val="28"/>
        </w:rPr>
        <w:t>单位名称：</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单位性质：</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地址：</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成立时间： 年  月  日</w:t>
      </w:r>
    </w:p>
    <w:p>
      <w:pPr>
        <w:spacing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姓名：</w:t>
      </w:r>
    </w:p>
    <w:p>
      <w:pPr>
        <w:spacing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性别：</w:t>
      </w:r>
    </w:p>
    <w:p>
      <w:pPr>
        <w:spacing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年龄：</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职务：</w:t>
      </w:r>
    </w:p>
    <w:p>
      <w:pPr>
        <w:spacing w:line="360" w:lineRule="atLeast"/>
        <w:jc w:val="left"/>
        <w:rPr>
          <w:rFonts w:asciiTheme="minorEastAsia" w:hAnsiTheme="minorEastAsia" w:eastAsiaTheme="minorEastAsia"/>
          <w:sz w:val="28"/>
          <w:szCs w:val="28"/>
        </w:rPr>
      </w:pPr>
    </w:p>
    <w:p>
      <w:pPr>
        <w:spacing w:line="360" w:lineRule="atLeas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系</w:t>
      </w:r>
      <w:r>
        <w:rPr>
          <w:rFonts w:hint="eastAsia" w:asciiTheme="minorEastAsia" w:hAnsiTheme="minorEastAsia" w:eastAsiaTheme="minorEastAsia"/>
          <w:sz w:val="28"/>
          <w:szCs w:val="28"/>
          <w:u w:val="single"/>
        </w:rPr>
        <w:t>（投标单位名称）</w:t>
      </w:r>
      <w:r>
        <w:rPr>
          <w:rFonts w:hint="eastAsia" w:asciiTheme="minorEastAsia" w:hAnsiTheme="minorEastAsia" w:eastAsiaTheme="minorEastAsia"/>
          <w:sz w:val="28"/>
          <w:szCs w:val="28"/>
        </w:rPr>
        <w:t>的法定代表人。为本次采购项目签署上述投标文件、进行合同谈判、签署合同和处理与之有关的一切事务。</w:t>
      </w:r>
    </w:p>
    <w:p>
      <w:pPr>
        <w:spacing w:line="360" w:lineRule="atLeast"/>
        <w:jc w:val="left"/>
        <w:rPr>
          <w:rFonts w:asciiTheme="minorEastAsia" w:hAnsiTheme="minorEastAsia" w:eastAsiaTheme="minorEastAsia"/>
          <w:sz w:val="28"/>
          <w:szCs w:val="28"/>
        </w:rPr>
      </w:pPr>
    </w:p>
    <w:p>
      <w:pPr>
        <w:spacing w:line="360" w:lineRule="atLeas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特此证明。</w:t>
      </w:r>
    </w:p>
    <w:p>
      <w:pPr>
        <w:spacing w:line="360" w:lineRule="atLeast"/>
        <w:ind w:firstLine="480"/>
        <w:rPr>
          <w:rFonts w:asciiTheme="minorEastAsia" w:hAnsiTheme="minorEastAsia" w:eastAsiaTheme="minorEastAsia"/>
          <w:b/>
          <w:sz w:val="28"/>
          <w:szCs w:val="28"/>
        </w:rPr>
      </w:pPr>
    </w:p>
    <w:p>
      <w:pPr>
        <w:spacing w:line="360" w:lineRule="atLeast"/>
        <w:ind w:firstLine="140" w:firstLineChars="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投标人：（单位盖公章）</w:t>
      </w:r>
    </w:p>
    <w:p>
      <w:pPr>
        <w:spacing w:line="360" w:lineRule="atLeast"/>
        <w:jc w:val="left"/>
        <w:rPr>
          <w:rFonts w:asciiTheme="minorEastAsia" w:hAnsiTheme="minorEastAsia" w:eastAsiaTheme="minorEastAsia"/>
          <w:sz w:val="28"/>
          <w:szCs w:val="28"/>
        </w:rPr>
      </w:pPr>
    </w:p>
    <w:p>
      <w:pPr>
        <w:spacing w:line="360" w:lineRule="auto"/>
        <w:ind w:firstLine="140" w:firstLineChars="50"/>
        <w:rPr>
          <w:rFonts w:asciiTheme="minorEastAsia" w:hAnsiTheme="minorEastAsia" w:eastAsiaTheme="minorEastAsia"/>
          <w:sz w:val="28"/>
          <w:szCs w:val="28"/>
        </w:rPr>
      </w:pPr>
      <w:r>
        <w:rPr>
          <w:rFonts w:hint="eastAsia" w:asciiTheme="minorEastAsia" w:hAnsiTheme="minorEastAsia" w:eastAsiaTheme="minorEastAsia"/>
          <w:sz w:val="28"/>
          <w:szCs w:val="28"/>
        </w:rPr>
        <w:t>日  期：  年  月  日</w:t>
      </w:r>
    </w:p>
    <w:p>
      <w:pPr>
        <w:widowControl/>
        <w:topLinePunct/>
        <w:spacing w:line="440" w:lineRule="atLeast"/>
        <w:rPr>
          <w:rFonts w:asciiTheme="minorEastAsia" w:hAnsiTheme="minorEastAsia" w:eastAsiaTheme="minorEastAsia"/>
          <w:kern w:val="0"/>
          <w:sz w:val="28"/>
          <w:szCs w:val="28"/>
        </w:rPr>
      </w:pPr>
    </w:p>
    <w:p>
      <w:pPr>
        <w:widowControl/>
        <w:topLinePunct/>
        <w:spacing w:line="440" w:lineRule="atLeast"/>
        <w:rPr>
          <w:rFonts w:asciiTheme="minorEastAsia" w:hAnsiTheme="minorEastAsia" w:eastAsiaTheme="minorEastAsia"/>
          <w:b/>
          <w:bCs/>
          <w:sz w:val="28"/>
          <w:szCs w:val="28"/>
        </w:rPr>
      </w:pPr>
      <w:r>
        <w:rPr>
          <w:rFonts w:hint="eastAsia" w:asciiTheme="minorEastAsia" w:hAnsiTheme="minorEastAsia" w:eastAsiaTheme="minorEastAsia"/>
          <w:b/>
          <w:bCs/>
          <w:kern w:val="0"/>
          <w:sz w:val="28"/>
          <w:szCs w:val="28"/>
        </w:rPr>
        <w:t>附：</w:t>
      </w:r>
      <w:r>
        <w:rPr>
          <w:rFonts w:hint="eastAsia" w:asciiTheme="minorEastAsia" w:hAnsiTheme="minorEastAsia" w:eastAsiaTheme="minorEastAsia"/>
          <w:b/>
          <w:bCs/>
          <w:sz w:val="28"/>
          <w:szCs w:val="28"/>
        </w:rPr>
        <w:t>法定代表人身份证扫描件</w:t>
      </w:r>
    </w:p>
    <w:tbl>
      <w:tblPr>
        <w:tblStyle w:val="37"/>
        <w:tblW w:w="9402"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848"/>
        <w:gridCol w:w="4554"/>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Ex>
        <w:trPr>
          <w:trHeight w:val="3240" w:hRule="atLeast"/>
        </w:trPr>
        <w:tc>
          <w:tcPr>
            <w:tcW w:w="4848" w:type="dxa"/>
            <w:tcBorders>
              <w:top w:val="single" w:color="auto" w:sz="12" w:space="0"/>
              <w:bottom w:val="single" w:color="auto" w:sz="12" w:space="0"/>
            </w:tcBorders>
            <w:vAlign w:val="center"/>
          </w:tcPr>
          <w:p>
            <w:pPr>
              <w:snapToGrid w:val="0"/>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法定代表人二代身份证正面</w:t>
            </w:r>
          </w:p>
        </w:tc>
        <w:tc>
          <w:tcPr>
            <w:tcW w:w="4554" w:type="dxa"/>
            <w:tcBorders>
              <w:top w:val="single" w:color="auto" w:sz="12" w:space="0"/>
              <w:bottom w:val="single" w:color="auto" w:sz="12" w:space="0"/>
            </w:tcBorders>
            <w:vAlign w:val="center"/>
          </w:tcPr>
          <w:p>
            <w:pPr>
              <w:snapToGrid w:val="0"/>
              <w:spacing w:line="360" w:lineRule="auto"/>
              <w:ind w:right="-170" w:rightChars="-81"/>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法定代表人二代身份证反面</w:t>
            </w:r>
          </w:p>
        </w:tc>
      </w:tr>
    </w:tbl>
    <w:p>
      <w:pPr>
        <w:widowControl/>
        <w:topLinePunct/>
        <w:spacing w:line="440" w:lineRule="atLeast"/>
        <w:rPr>
          <w:rFonts w:asciiTheme="minorEastAsia" w:hAnsiTheme="minorEastAsia" w:eastAsiaTheme="minorEastAsia"/>
          <w:kern w:val="0"/>
          <w:sz w:val="28"/>
          <w:szCs w:val="28"/>
        </w:rPr>
      </w:pPr>
    </w:p>
    <w:p>
      <w:pPr>
        <w:widowControl/>
        <w:topLinePunct/>
        <w:spacing w:line="440" w:lineRule="atLeast"/>
        <w:rPr>
          <w:rFonts w:asciiTheme="minorEastAsia" w:hAnsiTheme="minorEastAsia" w:eastAsiaTheme="minorEastAsia"/>
          <w:kern w:val="0"/>
          <w:sz w:val="28"/>
          <w:szCs w:val="28"/>
        </w:rPr>
      </w:pPr>
    </w:p>
    <w:p>
      <w:pPr>
        <w:widowControl/>
        <w:topLinePunct/>
        <w:spacing w:line="440" w:lineRule="atLeast"/>
        <w:rPr>
          <w:rFonts w:asciiTheme="minorEastAsia" w:hAnsiTheme="minorEastAsia" w:eastAsiaTheme="minorEastAsia"/>
          <w:kern w:val="0"/>
          <w:sz w:val="28"/>
          <w:szCs w:val="28"/>
        </w:rPr>
      </w:pPr>
    </w:p>
    <w:bookmarkEnd w:id="27"/>
    <w:p>
      <w:pPr>
        <w:widowControl/>
        <w:jc w:val="left"/>
        <w:rPr>
          <w:rFonts w:asciiTheme="minorEastAsia" w:hAnsiTheme="minorEastAsia" w:eastAsiaTheme="minorEastAsia"/>
          <w:sz w:val="28"/>
          <w:szCs w:val="28"/>
        </w:rPr>
      </w:pPr>
      <w:bookmarkStart w:id="28" w:name="_Toc303865002"/>
      <w:bookmarkStart w:id="29" w:name="_Toc1544821"/>
      <w:bookmarkStart w:id="30" w:name="_Toc526861364"/>
      <w:r>
        <w:rPr>
          <w:rFonts w:asciiTheme="minorEastAsia" w:hAnsiTheme="minorEastAsia" w:eastAsiaTheme="minorEastAsia"/>
          <w:b/>
          <w:bCs/>
          <w:sz w:val="28"/>
          <w:szCs w:val="28"/>
        </w:rPr>
        <w:br w:type="page"/>
      </w:r>
    </w:p>
    <w:p>
      <w:pPr>
        <w:pStyle w:val="3"/>
        <w:spacing w:before="0" w:after="0" w:line="360" w:lineRule="auto"/>
        <w:jc w:val="center"/>
        <w:rPr>
          <w:rFonts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四、授权委托书</w:t>
      </w:r>
      <w:bookmarkEnd w:id="28"/>
      <w:bookmarkEnd w:id="29"/>
      <w:bookmarkEnd w:id="30"/>
    </w:p>
    <w:p>
      <w:pPr>
        <w:widowControl/>
        <w:spacing w:line="400" w:lineRule="atLeast"/>
        <w:rPr>
          <w:rFonts w:asciiTheme="minorEastAsia" w:hAnsiTheme="minorEastAsia" w:eastAsiaTheme="minorEastAsia"/>
          <w:kern w:val="0"/>
          <w:sz w:val="28"/>
          <w:szCs w:val="28"/>
        </w:rPr>
      </w:pPr>
    </w:p>
    <w:p>
      <w:pPr>
        <w:spacing w:line="320" w:lineRule="atLeast"/>
        <w:ind w:right="1415" w:rightChars="674"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本授权委托书声明：我（姓名）系（投标人名称）的法定代表人，现授权委托（单位名称）的（姓名）为我公司代理人，以本公司的名义参加</w:t>
      </w:r>
      <w:r>
        <w:rPr>
          <w:rFonts w:hint="eastAsia" w:ascii="仿宋" w:hAnsi="仿宋" w:eastAsia="仿宋"/>
          <w:b/>
          <w:bCs/>
          <w:sz w:val="32"/>
          <w:szCs w:val="32"/>
        </w:rPr>
        <w:t>202</w:t>
      </w:r>
      <w:r>
        <w:rPr>
          <w:rFonts w:hint="eastAsia" w:ascii="仿宋" w:hAnsi="仿宋" w:eastAsia="仿宋"/>
          <w:b/>
          <w:bCs/>
          <w:sz w:val="32"/>
          <w:szCs w:val="32"/>
          <w:lang w:val="en-US" w:eastAsia="zh-CN"/>
        </w:rPr>
        <w:t>2</w:t>
      </w:r>
      <w:r>
        <w:rPr>
          <w:rFonts w:hint="eastAsia" w:ascii="仿宋" w:hAnsi="仿宋" w:eastAsia="仿宋"/>
          <w:b/>
          <w:bCs/>
          <w:sz w:val="32"/>
          <w:szCs w:val="32"/>
        </w:rPr>
        <w:t>年</w:t>
      </w:r>
      <w:r>
        <w:rPr>
          <w:rFonts w:hint="eastAsia" w:ascii="仿宋" w:hAnsi="仿宋" w:eastAsia="仿宋"/>
          <w:b/>
          <w:bCs/>
          <w:sz w:val="32"/>
          <w:szCs w:val="32"/>
          <w:lang w:val="en-US" w:eastAsia="zh-CN"/>
        </w:rPr>
        <w:t>2-5</w:t>
      </w:r>
      <w:r>
        <w:rPr>
          <w:rFonts w:hint="eastAsia" w:ascii="仿宋" w:hAnsi="仿宋" w:eastAsia="仿宋"/>
          <w:b/>
          <w:bCs/>
          <w:sz w:val="32"/>
          <w:szCs w:val="32"/>
        </w:rPr>
        <w:t>月</w:t>
      </w:r>
      <w:r>
        <w:rPr>
          <w:rFonts w:hint="eastAsia" w:ascii="仿宋" w:hAnsi="仿宋" w:eastAsia="仿宋"/>
          <w:b/>
          <w:bCs/>
          <w:sz w:val="32"/>
          <w:szCs w:val="32"/>
          <w:lang w:eastAsia="zh-CN"/>
        </w:rPr>
        <w:t>镁砂</w:t>
      </w:r>
      <w:r>
        <w:rPr>
          <w:rFonts w:hint="eastAsia" w:ascii="仿宋" w:hAnsi="仿宋" w:eastAsia="仿宋"/>
          <w:b/>
          <w:bCs/>
          <w:sz w:val="32"/>
          <w:szCs w:val="32"/>
        </w:rPr>
        <w:t>采购项目</w:t>
      </w:r>
      <w:r>
        <w:rPr>
          <w:rFonts w:hint="eastAsia" w:asciiTheme="minorEastAsia" w:hAnsiTheme="minorEastAsia" w:eastAsiaTheme="minorEastAsia"/>
          <w:sz w:val="28"/>
          <w:szCs w:val="28"/>
        </w:rPr>
        <w:t>的投标活动。代理人在开标、评标、合同谈判签订及执行过程中所签署的一切文件和处理与之有关的一切事务，我均予以承认，均是我的行为，由我承担法律责任。委托人联系电话：</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360" w:lineRule="atLeast"/>
        <w:jc w:val="left"/>
        <w:rPr>
          <w:rFonts w:asciiTheme="minorEastAsia" w:hAnsiTheme="minorEastAsia" w:eastAsiaTheme="minorEastAsia"/>
          <w:sz w:val="28"/>
          <w:szCs w:val="28"/>
        </w:rPr>
      </w:pPr>
    </w:p>
    <w:p>
      <w:pPr>
        <w:spacing w:line="360" w:lineRule="atLeast"/>
        <w:ind w:firstLine="48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代理人无转授权。</w:t>
      </w:r>
    </w:p>
    <w:p>
      <w:pPr>
        <w:spacing w:line="360" w:lineRule="atLeast"/>
        <w:ind w:firstLine="480"/>
        <w:rPr>
          <w:rFonts w:asciiTheme="minorEastAsia" w:hAnsiTheme="minorEastAsia" w:eastAsiaTheme="minorEastAsia"/>
          <w:sz w:val="28"/>
          <w:szCs w:val="28"/>
        </w:rPr>
      </w:pPr>
    </w:p>
    <w:p>
      <w:pPr>
        <w:spacing w:line="360" w:lineRule="atLeast"/>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特此委托。</w:t>
      </w:r>
    </w:p>
    <w:p>
      <w:pPr>
        <w:widowControl/>
        <w:topLinePunct/>
        <w:spacing w:line="440" w:lineRule="atLeast"/>
        <w:ind w:firstLine="2879"/>
        <w:rPr>
          <w:rFonts w:asciiTheme="minorEastAsia" w:hAnsiTheme="minorEastAsia" w:eastAsiaTheme="minorEastAsia"/>
          <w:kern w:val="0"/>
          <w:sz w:val="28"/>
          <w:szCs w:val="28"/>
        </w:rPr>
      </w:pPr>
    </w:p>
    <w:p>
      <w:pPr>
        <w:widowControl/>
        <w:topLinePunct/>
        <w:spacing w:line="440" w:lineRule="atLeast"/>
        <w:ind w:firstLine="2879"/>
        <w:rPr>
          <w:rFonts w:asciiTheme="minorEastAsia" w:hAnsiTheme="minorEastAsia" w:eastAsiaTheme="minorEastAsia"/>
          <w:kern w:val="0"/>
          <w:sz w:val="28"/>
          <w:szCs w:val="28"/>
        </w:rPr>
      </w:pPr>
      <w:r>
        <w:rPr>
          <w:rFonts w:asciiTheme="minorEastAsia" w:hAnsiTheme="minorEastAsia" w:eastAsiaTheme="minorEastAsia"/>
          <w:kern w:val="0"/>
          <w:sz w:val="28"/>
          <w:szCs w:val="28"/>
        </w:rPr>
        <w:t>投标人：（盖单位</w:t>
      </w:r>
      <w:r>
        <w:rPr>
          <w:rFonts w:hint="eastAsia" w:asciiTheme="minorEastAsia" w:hAnsiTheme="minorEastAsia" w:eastAsiaTheme="minorEastAsia"/>
          <w:kern w:val="0"/>
          <w:sz w:val="28"/>
          <w:szCs w:val="28"/>
        </w:rPr>
        <w:t>公</w:t>
      </w:r>
      <w:r>
        <w:rPr>
          <w:rFonts w:asciiTheme="minorEastAsia" w:hAnsiTheme="minorEastAsia" w:eastAsiaTheme="minorEastAsia"/>
          <w:kern w:val="0"/>
          <w:sz w:val="28"/>
          <w:szCs w:val="28"/>
        </w:rPr>
        <w:t>章）</w:t>
      </w:r>
    </w:p>
    <w:p>
      <w:pPr>
        <w:widowControl/>
        <w:topLinePunct/>
        <w:spacing w:line="440" w:lineRule="atLeast"/>
        <w:ind w:firstLine="2879"/>
        <w:rPr>
          <w:rFonts w:asciiTheme="minorEastAsia" w:hAnsiTheme="minorEastAsia" w:eastAsiaTheme="minorEastAsia"/>
          <w:kern w:val="0"/>
          <w:sz w:val="28"/>
          <w:szCs w:val="28"/>
        </w:rPr>
      </w:pPr>
    </w:p>
    <w:p>
      <w:pPr>
        <w:widowControl/>
        <w:topLinePunct/>
        <w:spacing w:line="440" w:lineRule="atLeast"/>
        <w:ind w:firstLine="2879"/>
        <w:rPr>
          <w:rFonts w:asciiTheme="minorEastAsia" w:hAnsiTheme="minorEastAsia" w:eastAsiaTheme="minorEastAsia"/>
          <w:kern w:val="0"/>
          <w:sz w:val="28"/>
          <w:szCs w:val="28"/>
        </w:rPr>
      </w:pPr>
      <w:r>
        <w:rPr>
          <w:rFonts w:asciiTheme="minorEastAsia" w:hAnsiTheme="minorEastAsia" w:eastAsiaTheme="minorEastAsia"/>
          <w:kern w:val="0"/>
          <w:sz w:val="28"/>
          <w:szCs w:val="28"/>
        </w:rPr>
        <w:t>法定代表人：（</w:t>
      </w:r>
      <w:r>
        <w:rPr>
          <w:rFonts w:hint="eastAsia" w:asciiTheme="minorEastAsia" w:hAnsiTheme="minorEastAsia" w:eastAsiaTheme="minorEastAsia"/>
          <w:sz w:val="28"/>
          <w:szCs w:val="28"/>
        </w:rPr>
        <w:t>签字或盖章</w:t>
      </w:r>
      <w:r>
        <w:rPr>
          <w:rFonts w:asciiTheme="minorEastAsia" w:hAnsiTheme="minorEastAsia" w:eastAsiaTheme="minorEastAsia"/>
          <w:kern w:val="0"/>
          <w:sz w:val="28"/>
          <w:szCs w:val="28"/>
        </w:rPr>
        <w:t>）</w:t>
      </w:r>
    </w:p>
    <w:p>
      <w:pPr>
        <w:widowControl/>
        <w:topLinePunct/>
        <w:spacing w:line="440" w:lineRule="atLeast"/>
        <w:ind w:firstLine="2879"/>
        <w:rPr>
          <w:rFonts w:asciiTheme="minorEastAsia" w:hAnsiTheme="minorEastAsia" w:eastAsiaTheme="minorEastAsia"/>
          <w:kern w:val="0"/>
          <w:sz w:val="28"/>
          <w:szCs w:val="28"/>
        </w:rPr>
      </w:pPr>
    </w:p>
    <w:p>
      <w:pPr>
        <w:widowControl/>
        <w:topLinePunct/>
        <w:spacing w:line="440" w:lineRule="atLeast"/>
        <w:ind w:firstLine="2879"/>
        <w:rPr>
          <w:rFonts w:asciiTheme="minorEastAsia" w:hAnsiTheme="minorEastAsia" w:eastAsiaTheme="minorEastAsia"/>
          <w:kern w:val="0"/>
          <w:sz w:val="28"/>
          <w:szCs w:val="28"/>
        </w:rPr>
      </w:pPr>
      <w:r>
        <w:rPr>
          <w:rFonts w:asciiTheme="minorEastAsia" w:hAnsiTheme="minorEastAsia" w:eastAsiaTheme="minorEastAsia"/>
          <w:kern w:val="0"/>
          <w:sz w:val="28"/>
          <w:szCs w:val="28"/>
        </w:rPr>
        <w:t>委托代理人：（</w:t>
      </w:r>
      <w:r>
        <w:rPr>
          <w:rFonts w:hint="eastAsia" w:asciiTheme="minorEastAsia" w:hAnsiTheme="minorEastAsia" w:eastAsiaTheme="minorEastAsia"/>
          <w:sz w:val="28"/>
          <w:szCs w:val="28"/>
        </w:rPr>
        <w:t>签字或盖章</w:t>
      </w:r>
      <w:r>
        <w:rPr>
          <w:rFonts w:asciiTheme="minorEastAsia" w:hAnsiTheme="minorEastAsia" w:eastAsiaTheme="minorEastAsia"/>
          <w:kern w:val="0"/>
          <w:sz w:val="28"/>
          <w:szCs w:val="28"/>
        </w:rPr>
        <w:t>）</w:t>
      </w:r>
    </w:p>
    <w:p>
      <w:pPr>
        <w:widowControl/>
        <w:topLinePunct/>
        <w:spacing w:line="440" w:lineRule="atLeast"/>
        <w:ind w:left="4117" w:firstLine="2879"/>
        <w:rPr>
          <w:rFonts w:asciiTheme="minorEastAsia" w:hAnsiTheme="minorEastAsia" w:eastAsiaTheme="minorEastAsia"/>
          <w:kern w:val="0"/>
          <w:sz w:val="28"/>
          <w:szCs w:val="28"/>
        </w:rPr>
      </w:pPr>
    </w:p>
    <w:p>
      <w:pPr>
        <w:spacing w:line="360" w:lineRule="auto"/>
        <w:ind w:firstLine="2800" w:firstLineChars="10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日   期：   年    月    日</w:t>
      </w:r>
    </w:p>
    <w:p>
      <w:pPr>
        <w:widowControl/>
        <w:topLinePunct/>
        <w:spacing w:line="440" w:lineRule="atLeast"/>
        <w:jc w:val="left"/>
        <w:rPr>
          <w:rFonts w:cs="宋体" w:asciiTheme="minorEastAsia" w:hAnsiTheme="minorEastAsia" w:eastAsiaTheme="minorEastAsia"/>
          <w:sz w:val="28"/>
          <w:szCs w:val="28"/>
        </w:rPr>
      </w:pPr>
    </w:p>
    <w:p>
      <w:pPr>
        <w:widowControl/>
        <w:topLinePunct/>
        <w:spacing w:line="460" w:lineRule="atLeast"/>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附：委托代理人</w:t>
      </w:r>
      <w:r>
        <w:rPr>
          <w:rFonts w:hint="eastAsia" w:asciiTheme="minorEastAsia" w:hAnsiTheme="minorEastAsia" w:eastAsiaTheme="minorEastAsia"/>
          <w:b/>
          <w:bCs/>
          <w:sz w:val="28"/>
          <w:szCs w:val="28"/>
        </w:rPr>
        <w:t>身份证扫描件</w:t>
      </w:r>
    </w:p>
    <w:tbl>
      <w:tblPr>
        <w:tblStyle w:val="37"/>
        <w:tblW w:w="9529"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838"/>
        <w:gridCol w:w="4691"/>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Ex>
        <w:trPr>
          <w:trHeight w:val="3190" w:hRule="atLeast"/>
        </w:trPr>
        <w:tc>
          <w:tcPr>
            <w:tcW w:w="4838" w:type="dxa"/>
            <w:vAlign w:val="center"/>
          </w:tcPr>
          <w:p>
            <w:pPr>
              <w:snapToGrid w:val="0"/>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委托代理人二代身份证正面</w:t>
            </w:r>
          </w:p>
        </w:tc>
        <w:tc>
          <w:tcPr>
            <w:tcW w:w="4691" w:type="dxa"/>
            <w:vAlign w:val="center"/>
          </w:tcPr>
          <w:p>
            <w:pPr>
              <w:snapToGrid w:val="0"/>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委托代理人二代身份证反面</w:t>
            </w:r>
          </w:p>
        </w:tc>
      </w:tr>
    </w:tbl>
    <w:p>
      <w:pPr>
        <w:widowControl/>
        <w:topLinePunct/>
        <w:spacing w:line="440" w:lineRule="atLeast"/>
        <w:jc w:val="left"/>
        <w:rPr>
          <w:rFonts w:cs="宋体" w:asciiTheme="minorEastAsia" w:hAnsiTheme="minorEastAsia" w:eastAsiaTheme="minorEastAsia"/>
          <w:sz w:val="28"/>
          <w:szCs w:val="28"/>
        </w:rPr>
        <w:sectPr>
          <w:footerReference r:id="rId5" w:type="default"/>
          <w:pgSz w:w="11906" w:h="16838"/>
          <w:pgMar w:top="1440" w:right="869" w:bottom="1440" w:left="1377" w:header="851" w:footer="992" w:gutter="0"/>
          <w:cols w:space="720" w:num="1"/>
          <w:docGrid w:linePitch="326" w:charSpace="0"/>
        </w:sectPr>
      </w:pPr>
    </w:p>
    <w:p>
      <w:pPr>
        <w:pStyle w:val="3"/>
        <w:spacing w:before="0" w:after="0" w:line="360" w:lineRule="auto"/>
        <w:jc w:val="center"/>
        <w:rPr>
          <w:rFonts w:asciiTheme="minorEastAsia" w:hAnsiTheme="minorEastAsia" w:eastAsiaTheme="minorEastAsia"/>
          <w:b w:val="0"/>
          <w:bCs w:val="0"/>
          <w:sz w:val="28"/>
          <w:szCs w:val="28"/>
        </w:rPr>
      </w:pPr>
      <w:bookmarkStart w:id="31" w:name="_Toc1544822"/>
      <w:bookmarkStart w:id="32" w:name="_Toc526861365"/>
      <w:r>
        <w:rPr>
          <w:rFonts w:hint="eastAsia" w:asciiTheme="minorEastAsia" w:hAnsiTheme="minorEastAsia" w:eastAsiaTheme="minorEastAsia"/>
          <w:b w:val="0"/>
          <w:bCs w:val="0"/>
          <w:sz w:val="28"/>
          <w:szCs w:val="28"/>
        </w:rPr>
        <w:t>五、投标保证金</w:t>
      </w:r>
      <w:bookmarkEnd w:id="31"/>
      <w:bookmarkEnd w:id="32"/>
      <w:r>
        <w:rPr>
          <w:rFonts w:hint="eastAsia" w:asciiTheme="minorEastAsia" w:hAnsiTheme="minorEastAsia" w:eastAsiaTheme="minorEastAsia"/>
          <w:b w:val="0"/>
          <w:bCs w:val="0"/>
          <w:sz w:val="28"/>
          <w:szCs w:val="28"/>
        </w:rPr>
        <w:t>承诺函</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致：衡阳华菱钢管/连轧管有限公司</w:t>
      </w:r>
    </w:p>
    <w:p>
      <w:pPr>
        <w:ind w:firstLine="57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根据贵方</w:t>
      </w:r>
      <w:r>
        <w:rPr>
          <w:rFonts w:hint="eastAsia" w:ascii="仿宋" w:hAnsi="仿宋" w:eastAsia="仿宋"/>
          <w:b/>
          <w:bCs/>
          <w:sz w:val="32"/>
          <w:szCs w:val="32"/>
        </w:rPr>
        <w:t>202</w:t>
      </w:r>
      <w:r>
        <w:rPr>
          <w:rFonts w:hint="eastAsia" w:ascii="仿宋" w:hAnsi="仿宋" w:eastAsia="仿宋"/>
          <w:b/>
          <w:bCs/>
          <w:sz w:val="32"/>
          <w:szCs w:val="32"/>
          <w:lang w:val="en-US" w:eastAsia="zh-CN"/>
        </w:rPr>
        <w:t>2</w:t>
      </w:r>
      <w:r>
        <w:rPr>
          <w:rFonts w:hint="eastAsia" w:ascii="仿宋" w:hAnsi="仿宋" w:eastAsia="仿宋"/>
          <w:b/>
          <w:bCs/>
          <w:sz w:val="32"/>
          <w:szCs w:val="32"/>
        </w:rPr>
        <w:t>年</w:t>
      </w:r>
      <w:r>
        <w:rPr>
          <w:rFonts w:hint="eastAsia" w:ascii="仿宋" w:hAnsi="仿宋" w:eastAsia="仿宋"/>
          <w:b/>
          <w:bCs/>
          <w:sz w:val="32"/>
          <w:szCs w:val="32"/>
          <w:lang w:val="en-US" w:eastAsia="zh-CN"/>
        </w:rPr>
        <w:t>2-5</w:t>
      </w:r>
      <w:r>
        <w:rPr>
          <w:rFonts w:hint="eastAsia" w:ascii="仿宋" w:hAnsi="仿宋" w:eastAsia="仿宋"/>
          <w:b/>
          <w:bCs/>
          <w:sz w:val="32"/>
          <w:szCs w:val="32"/>
        </w:rPr>
        <w:t>月</w:t>
      </w:r>
      <w:r>
        <w:rPr>
          <w:rFonts w:hint="eastAsia" w:ascii="仿宋" w:hAnsi="仿宋" w:eastAsia="仿宋"/>
          <w:b/>
          <w:bCs/>
          <w:sz w:val="32"/>
          <w:szCs w:val="32"/>
          <w:lang w:eastAsia="zh-CN"/>
        </w:rPr>
        <w:t>镁砂</w:t>
      </w:r>
      <w:r>
        <w:rPr>
          <w:rFonts w:hint="eastAsia" w:ascii="仿宋" w:hAnsi="仿宋" w:eastAsia="仿宋"/>
          <w:b/>
          <w:bCs/>
          <w:sz w:val="32"/>
          <w:szCs w:val="32"/>
        </w:rPr>
        <w:t>采购项目</w:t>
      </w:r>
      <w:r>
        <w:rPr>
          <w:rFonts w:hint="eastAsia" w:asciiTheme="minorEastAsia" w:hAnsiTheme="minorEastAsia" w:eastAsiaTheme="minorEastAsia"/>
          <w:sz w:val="28"/>
          <w:szCs w:val="28"/>
        </w:rPr>
        <w:t>招标文件</w:t>
      </w:r>
      <w:r>
        <w:rPr>
          <w:rFonts w:asciiTheme="minorEastAsia" w:hAnsiTheme="minorEastAsia" w:eastAsiaTheme="minorEastAsia"/>
          <w:sz w:val="28"/>
          <w:szCs w:val="28"/>
          <w:u w:val="single"/>
        </w:rPr>
        <w:t>_</w:t>
      </w:r>
      <w:r>
        <w:rPr>
          <w:rFonts w:hint="eastAsia" w:asciiTheme="minorEastAsia" w:hAnsiTheme="minorEastAsia" w:eastAsiaTheme="minorEastAsia"/>
          <w:sz w:val="28"/>
          <w:szCs w:val="28"/>
          <w:u w:val="single"/>
        </w:rPr>
        <w:t>HG</w:t>
      </w:r>
      <w:r>
        <w:rPr>
          <w:rFonts w:hint="eastAsia" w:asciiTheme="minorEastAsia" w:hAnsiTheme="minorEastAsia" w:eastAsiaTheme="minorEastAsia"/>
          <w:sz w:val="28"/>
          <w:szCs w:val="28"/>
          <w:u w:val="single"/>
          <w:lang w:val="en-US" w:eastAsia="zh-CN"/>
        </w:rPr>
        <w:t>CGY22014</w:t>
      </w:r>
      <w:r>
        <w:rPr>
          <w:rFonts w:hint="eastAsia" w:asciiTheme="minorEastAsia" w:hAnsiTheme="minorEastAsia" w:eastAsiaTheme="minorEastAsia"/>
          <w:sz w:val="28"/>
          <w:szCs w:val="28"/>
        </w:rPr>
        <w:t>（项目编号）规定，我方承诺提交</w:t>
      </w:r>
      <w:r>
        <w:rPr>
          <w:rFonts w:asciiTheme="minorEastAsia" w:hAnsiTheme="minorEastAsia" w:eastAsiaTheme="minorEastAsia"/>
          <w:sz w:val="28"/>
          <w:szCs w:val="28"/>
        </w:rPr>
        <w:t>________</w:t>
      </w:r>
      <w:r>
        <w:rPr>
          <w:rFonts w:hint="eastAsia" w:asciiTheme="minorEastAsia" w:hAnsiTheme="minorEastAsia" w:eastAsiaTheme="minorEastAsia"/>
          <w:sz w:val="28"/>
          <w:szCs w:val="28"/>
        </w:rPr>
        <w:t>元投标保证金用作投标责任担保。提交投标保证金方式（</w:t>
      </w:r>
      <w:r>
        <w:rPr>
          <w:rFonts w:hint="eastAsia" w:asciiTheme="minorEastAsia" w:hAnsiTheme="minorEastAsia" w:eastAsiaTheme="minorEastAsia"/>
          <w:bCs/>
          <w:sz w:val="28"/>
          <w:szCs w:val="28"/>
        </w:rPr>
        <w:t xml:space="preserve">□ </w:t>
      </w:r>
      <w:r>
        <w:rPr>
          <w:rFonts w:hint="eastAsia" w:asciiTheme="minorEastAsia" w:hAnsiTheme="minorEastAsia" w:eastAsiaTheme="minorEastAsia"/>
          <w:sz w:val="28"/>
          <w:szCs w:val="28"/>
        </w:rPr>
        <w:t>现金；</w:t>
      </w:r>
      <w:r>
        <w:rPr>
          <w:rFonts w:hint="eastAsia" w:asciiTheme="minorEastAsia" w:hAnsiTheme="minorEastAsia" w:eastAsiaTheme="minorEastAsia"/>
          <w:bCs/>
          <w:sz w:val="28"/>
          <w:szCs w:val="28"/>
        </w:rPr>
        <w:t>□</w:t>
      </w:r>
      <w:r>
        <w:rPr>
          <w:rFonts w:hint="eastAsia" w:asciiTheme="minorEastAsia" w:hAnsiTheme="minorEastAsia" w:eastAsiaTheme="minorEastAsia"/>
          <w:sz w:val="28"/>
          <w:szCs w:val="28"/>
        </w:rPr>
        <w:t>银行汇票；</w:t>
      </w:r>
      <w:r>
        <w:rPr>
          <w:rFonts w:hint="eastAsia" w:asciiTheme="minorEastAsia" w:hAnsiTheme="minorEastAsia" w:eastAsiaTheme="minorEastAsia"/>
          <w:bCs/>
          <w:sz w:val="28"/>
          <w:szCs w:val="28"/>
        </w:rPr>
        <w:t xml:space="preserve">□ </w:t>
      </w:r>
      <w:r>
        <w:rPr>
          <w:rFonts w:hint="eastAsia" w:asciiTheme="minorEastAsia" w:hAnsiTheme="minorEastAsia" w:eastAsiaTheme="minorEastAsia"/>
          <w:sz w:val="28"/>
          <w:szCs w:val="28"/>
        </w:rPr>
        <w:t>转账凭证；</w:t>
      </w:r>
      <w:r>
        <w:rPr>
          <w:rFonts w:hint="eastAsia" w:asciiTheme="minorEastAsia" w:hAnsiTheme="minorEastAsia" w:eastAsiaTheme="minorEastAsia"/>
          <w:bCs/>
          <w:sz w:val="28"/>
          <w:szCs w:val="28"/>
        </w:rPr>
        <w:t xml:space="preserve">□ </w:t>
      </w:r>
      <w:r>
        <w:rPr>
          <w:rFonts w:hint="eastAsia" w:asciiTheme="minorEastAsia" w:hAnsiTheme="minorEastAsia" w:eastAsiaTheme="minorEastAsia"/>
          <w:sz w:val="28"/>
          <w:szCs w:val="28"/>
        </w:rPr>
        <w:t>货款；</w:t>
      </w:r>
      <w:r>
        <w:rPr>
          <w:rFonts w:hint="eastAsia" w:asciiTheme="minorEastAsia" w:hAnsiTheme="minorEastAsia" w:eastAsiaTheme="minorEastAsia"/>
          <w:bCs/>
          <w:sz w:val="28"/>
          <w:szCs w:val="28"/>
        </w:rPr>
        <w:t>□ 工程款&lt;</w:t>
      </w:r>
      <w:r>
        <w:rPr>
          <w:rFonts w:hint="eastAsia" w:asciiTheme="minorEastAsia" w:hAnsiTheme="minorEastAsia" w:eastAsiaTheme="minorEastAsia"/>
          <w:b/>
          <w:bCs/>
          <w:sz w:val="28"/>
          <w:szCs w:val="28"/>
        </w:rPr>
        <w:t>□中√选</w:t>
      </w:r>
      <w:r>
        <w:rPr>
          <w:rFonts w:hint="eastAsia" w:asciiTheme="minorEastAsia" w:hAnsiTheme="minorEastAsia" w:eastAsiaTheme="minorEastAsia"/>
          <w:bCs/>
          <w:sz w:val="28"/>
          <w:szCs w:val="28"/>
        </w:rPr>
        <w:t>&gt;</w:t>
      </w:r>
      <w:r>
        <w:rPr>
          <w:rFonts w:hint="eastAsia" w:asciiTheme="minorEastAsia" w:hAnsiTheme="minorEastAsia" w:eastAsiaTheme="minorEastAsia"/>
          <w:sz w:val="28"/>
          <w:szCs w:val="28"/>
        </w:rPr>
        <w:t>）</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如我方</w:t>
      </w:r>
      <w:r>
        <w:rPr>
          <w:rFonts w:asciiTheme="minorEastAsia" w:hAnsiTheme="minorEastAsia" w:eastAsiaTheme="minorEastAsia"/>
          <w:sz w:val="28"/>
          <w:szCs w:val="28"/>
        </w:rPr>
        <w:t>发生</w:t>
      </w:r>
      <w:r>
        <w:rPr>
          <w:rFonts w:hint="eastAsia" w:asciiTheme="minorEastAsia" w:hAnsiTheme="minorEastAsia" w:eastAsiaTheme="minorEastAsia"/>
          <w:sz w:val="28"/>
          <w:szCs w:val="28"/>
        </w:rPr>
        <w:t>下列情况</w:t>
      </w:r>
      <w:r>
        <w:rPr>
          <w:rFonts w:asciiTheme="minorEastAsia" w:hAnsiTheme="minorEastAsia" w:eastAsiaTheme="minorEastAsia"/>
          <w:sz w:val="28"/>
          <w:szCs w:val="28"/>
        </w:rPr>
        <w:t>，投标保证金可被贵方没收</w:t>
      </w:r>
      <w:r>
        <w:rPr>
          <w:rFonts w:hint="eastAsia" w:asciiTheme="minorEastAsia" w:hAnsiTheme="minorEastAsia" w:eastAsiaTheme="minorEastAsia"/>
          <w:sz w:val="28"/>
          <w:szCs w:val="28"/>
        </w:rPr>
        <w:t>：</w:t>
      </w:r>
    </w:p>
    <w:p>
      <w:pPr>
        <w:pStyle w:val="101"/>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在投标有效期内撤回其投标</w:t>
      </w:r>
      <w:r>
        <w:rPr>
          <w:rFonts w:hint="eastAsia" w:asciiTheme="minorEastAsia" w:hAnsiTheme="minorEastAsia" w:eastAsiaTheme="minorEastAsia"/>
          <w:sz w:val="28"/>
          <w:szCs w:val="28"/>
        </w:rPr>
        <w:t>报价</w:t>
      </w:r>
      <w:r>
        <w:rPr>
          <w:rFonts w:asciiTheme="minorEastAsia" w:hAnsiTheme="minorEastAsia" w:eastAsiaTheme="minorEastAsia"/>
          <w:sz w:val="28"/>
          <w:szCs w:val="28"/>
        </w:rPr>
        <w:t xml:space="preserve">； </w:t>
      </w:r>
    </w:p>
    <w:p>
      <w:pPr>
        <w:pStyle w:val="101"/>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中标</w:t>
      </w:r>
      <w:r>
        <w:rPr>
          <w:rFonts w:hint="eastAsia" w:asciiTheme="minorEastAsia" w:hAnsiTheme="minorEastAsia" w:eastAsiaTheme="minorEastAsia"/>
          <w:sz w:val="28"/>
          <w:szCs w:val="28"/>
        </w:rPr>
        <w:t>后未</w:t>
      </w:r>
      <w:r>
        <w:rPr>
          <w:rFonts w:asciiTheme="minorEastAsia" w:hAnsiTheme="minorEastAsia" w:eastAsiaTheme="minorEastAsia"/>
          <w:sz w:val="28"/>
          <w:szCs w:val="28"/>
        </w:rPr>
        <w:t>按规定签订合同或</w:t>
      </w:r>
      <w:r>
        <w:rPr>
          <w:rFonts w:hint="eastAsia" w:asciiTheme="minorEastAsia" w:hAnsiTheme="minorEastAsia" w:eastAsiaTheme="minorEastAsia"/>
          <w:sz w:val="28"/>
          <w:szCs w:val="28"/>
        </w:rPr>
        <w:t>未</w:t>
      </w:r>
      <w:r>
        <w:rPr>
          <w:rFonts w:asciiTheme="minorEastAsia" w:hAnsiTheme="minorEastAsia" w:eastAsiaTheme="minorEastAsia"/>
          <w:sz w:val="28"/>
          <w:szCs w:val="28"/>
        </w:rPr>
        <w:t>按规定接受对错误的修正；</w:t>
      </w:r>
    </w:p>
    <w:p>
      <w:pPr>
        <w:pStyle w:val="101"/>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未</w:t>
      </w:r>
      <w:r>
        <w:rPr>
          <w:rFonts w:hint="eastAsia" w:asciiTheme="minorEastAsia" w:hAnsiTheme="minorEastAsia" w:eastAsiaTheme="minorEastAsia"/>
          <w:sz w:val="28"/>
          <w:szCs w:val="28"/>
        </w:rPr>
        <w:t>按规定</w:t>
      </w:r>
      <w:r>
        <w:rPr>
          <w:rFonts w:asciiTheme="minorEastAsia" w:hAnsiTheme="minorEastAsia" w:eastAsiaTheme="minorEastAsia"/>
          <w:sz w:val="28"/>
          <w:szCs w:val="28"/>
        </w:rPr>
        <w:t>提交履约保证金</w:t>
      </w:r>
      <w:r>
        <w:rPr>
          <w:rFonts w:hint="eastAsia" w:asciiTheme="minorEastAsia" w:hAnsiTheme="minorEastAsia" w:eastAsiaTheme="minorEastAsia"/>
          <w:sz w:val="28"/>
          <w:szCs w:val="28"/>
        </w:rPr>
        <w:t>；</w:t>
      </w:r>
    </w:p>
    <w:p>
      <w:pPr>
        <w:pStyle w:val="101"/>
        <w:numPr>
          <w:ilvl w:val="0"/>
          <w:numId w:val="18"/>
        </w:numPr>
        <w:tabs>
          <w:tab w:val="left" w:pos="1418"/>
        </w:tabs>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未按规定交纳中标服务费；</w:t>
      </w:r>
    </w:p>
    <w:p>
      <w:pPr>
        <w:pStyle w:val="101"/>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串通投标</w:t>
      </w:r>
      <w:r>
        <w:rPr>
          <w:rFonts w:hint="eastAsia" w:asciiTheme="minorEastAsia" w:hAnsiTheme="minorEastAsia" w:eastAsiaTheme="minorEastAsia"/>
          <w:sz w:val="28"/>
          <w:szCs w:val="28"/>
        </w:rPr>
        <w:t>；</w:t>
      </w:r>
    </w:p>
    <w:p>
      <w:pPr>
        <w:pStyle w:val="101"/>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存在腐败或欺诈行为</w:t>
      </w:r>
      <w:r>
        <w:rPr>
          <w:rFonts w:hint="eastAsia" w:asciiTheme="minorEastAsia" w:hAnsiTheme="minorEastAsia" w:eastAsiaTheme="minorEastAsia"/>
          <w:sz w:val="28"/>
          <w:szCs w:val="28"/>
        </w:rPr>
        <w:t>；</w:t>
      </w:r>
    </w:p>
    <w:p>
      <w:pPr>
        <w:pStyle w:val="101"/>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采用不正当的手段骗取中标</w:t>
      </w:r>
      <w:r>
        <w:rPr>
          <w:rFonts w:hint="eastAsia" w:asciiTheme="minorEastAsia" w:hAnsiTheme="minorEastAsia" w:eastAsiaTheme="minorEastAsia"/>
          <w:sz w:val="28"/>
          <w:szCs w:val="28"/>
        </w:rPr>
        <w:t>；</w:t>
      </w:r>
    </w:p>
    <w:tbl>
      <w:tblPr>
        <w:tblStyle w:val="37"/>
        <w:tblpPr w:leftFromText="180" w:rightFromText="180" w:vertAnchor="text" w:horzAnchor="margin" w:tblpXSpec="center" w:tblpY="57"/>
        <w:tblW w:w="9180"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Ex>
        <w:trPr>
          <w:trHeight w:val="7085" w:hRule="atLeast"/>
        </w:trPr>
        <w:tc>
          <w:tcPr>
            <w:tcW w:w="9180" w:type="dxa"/>
            <w:tcBorders>
              <w:top w:val="single" w:color="auto" w:sz="4" w:space="0"/>
            </w:tcBorders>
          </w:tcPr>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付款凭证粘贴处；</w:t>
            </w:r>
          </w:p>
          <w:p>
            <w:pPr>
              <w:snapToGrid w:val="0"/>
              <w:spacing w:line="360" w:lineRule="auto"/>
              <w:ind w:right="-170" w:rightChars="-81"/>
              <w:rPr>
                <w:rFonts w:asciiTheme="minorEastAsia" w:hAnsiTheme="minorEastAsia" w:eastAsiaTheme="minorEastAsia"/>
                <w:sz w:val="28"/>
                <w:szCs w:val="28"/>
              </w:rPr>
            </w:pPr>
          </w:p>
        </w:tc>
      </w:tr>
    </w:tbl>
    <w:p>
      <w:pPr>
        <w:snapToGrid w:val="0"/>
        <w:spacing w:line="360" w:lineRule="auto"/>
        <w:ind w:right="560" w:firstLine="2240" w:firstLineChars="8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投标人：（盖单公位章）</w:t>
      </w:r>
    </w:p>
    <w:p>
      <w:pPr>
        <w:snapToGrid w:val="0"/>
        <w:spacing w:line="360" w:lineRule="auto"/>
        <w:ind w:right="560" w:firstLine="2240" w:firstLineChars="8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法定代表人或其委托代理人：（</w:t>
      </w:r>
      <w:r>
        <w:rPr>
          <w:rFonts w:hint="eastAsia" w:asciiTheme="minorEastAsia" w:hAnsiTheme="minorEastAsia" w:eastAsiaTheme="minorEastAsia"/>
          <w:sz w:val="28"/>
          <w:szCs w:val="28"/>
        </w:rPr>
        <w:t>签字或盖章</w:t>
      </w:r>
      <w:r>
        <w:rPr>
          <w:rFonts w:hint="eastAsia" w:cs="宋体" w:asciiTheme="minorEastAsia" w:hAnsiTheme="minorEastAsia" w:eastAsiaTheme="minorEastAsia"/>
          <w:sz w:val="28"/>
          <w:szCs w:val="28"/>
        </w:rPr>
        <w:t>）</w:t>
      </w:r>
    </w:p>
    <w:p>
      <w:pPr>
        <w:spacing w:line="276" w:lineRule="auto"/>
        <w:ind w:firstLine="2240" w:firstLineChars="800"/>
        <w:rPr>
          <w:rStyle w:val="47"/>
          <w:rFonts w:cs="宋体" w:asciiTheme="minorEastAsia" w:hAnsiTheme="minorEastAsia" w:eastAsiaTheme="minorEastAsia"/>
          <w:sz w:val="28"/>
          <w:szCs w:val="28"/>
        </w:rPr>
      </w:pPr>
      <w:r>
        <w:rPr>
          <w:rFonts w:hint="eastAsia" w:asciiTheme="minorEastAsia" w:hAnsiTheme="minorEastAsia" w:eastAsiaTheme="minorEastAsia"/>
          <w:sz w:val="28"/>
          <w:szCs w:val="28"/>
        </w:rPr>
        <w:t>日  期：    年    月     日</w:t>
      </w:r>
    </w:p>
    <w:p>
      <w:pPr>
        <w:pStyle w:val="3"/>
        <w:spacing w:before="0" w:after="0" w:line="360" w:lineRule="auto"/>
        <w:jc w:val="center"/>
        <w:rPr>
          <w:rFonts w:ascii="仿宋" w:hAnsi="仿宋" w:eastAsia="仿宋"/>
          <w:b w:val="0"/>
          <w:bCs w:val="0"/>
          <w:sz w:val="28"/>
          <w:szCs w:val="28"/>
        </w:rPr>
      </w:pPr>
      <w:bookmarkStart w:id="33" w:name="_Toc40341733"/>
      <w:r>
        <w:rPr>
          <w:rFonts w:asciiTheme="minorEastAsia" w:hAnsiTheme="minorEastAsia" w:eastAsiaTheme="minorEastAsia"/>
          <w:b w:val="0"/>
          <w:bCs w:val="0"/>
          <w:sz w:val="28"/>
          <w:szCs w:val="28"/>
        </w:rPr>
        <w:tab/>
      </w:r>
      <w:r>
        <w:rPr>
          <w:rFonts w:asciiTheme="minorEastAsia" w:hAnsiTheme="minorEastAsia" w:eastAsiaTheme="minorEastAsia"/>
          <w:b w:val="0"/>
          <w:bCs w:val="0"/>
          <w:sz w:val="28"/>
          <w:szCs w:val="28"/>
        </w:rPr>
        <w:tab/>
      </w:r>
      <w:bookmarkStart w:id="34" w:name="_Toc75967564"/>
      <w:bookmarkStart w:id="35" w:name="_Toc76044130"/>
      <w:r>
        <w:rPr>
          <w:rFonts w:hint="eastAsia" w:asciiTheme="minorEastAsia" w:hAnsiTheme="minorEastAsia" w:eastAsiaTheme="minorEastAsia"/>
          <w:b w:val="0"/>
          <w:bCs w:val="0"/>
          <w:sz w:val="28"/>
          <w:szCs w:val="28"/>
        </w:rPr>
        <w:t>六、</w:t>
      </w:r>
      <w:r>
        <w:rPr>
          <w:rFonts w:hint="eastAsia" w:ascii="仿宋" w:hAnsi="仿宋" w:eastAsia="仿宋"/>
          <w:bCs w:val="0"/>
        </w:rPr>
        <w:t>标书费付款凭证</w:t>
      </w:r>
      <w:bookmarkEnd w:id="34"/>
      <w:bookmarkEnd w:id="35"/>
    </w:p>
    <w:p>
      <w:pPr>
        <w:rPr>
          <w:rFonts w:asciiTheme="minorEastAsia" w:hAnsiTheme="minorEastAsia" w:eastAsiaTheme="minorEastAsia"/>
          <w:sz w:val="28"/>
          <w:szCs w:val="28"/>
        </w:rPr>
      </w:pPr>
      <w:r>
        <w:rPr>
          <w:rFonts w:hint="eastAsia" w:asciiTheme="minorEastAsia" w:hAnsiTheme="minorEastAsia" w:eastAsiaTheme="minorEastAsia"/>
          <w:sz w:val="28"/>
          <w:szCs w:val="28"/>
        </w:rPr>
        <w:t>致：衡阳华菱钢管</w:t>
      </w:r>
      <w:r>
        <w:rPr>
          <w:rFonts w:asciiTheme="minorEastAsia" w:hAnsiTheme="minorEastAsia" w:eastAsiaTheme="minorEastAsia"/>
          <w:sz w:val="28"/>
          <w:szCs w:val="28"/>
        </w:rPr>
        <w:t>/</w:t>
      </w:r>
      <w:r>
        <w:rPr>
          <w:rFonts w:hint="eastAsia" w:asciiTheme="minorEastAsia" w:hAnsiTheme="minorEastAsia" w:eastAsiaTheme="minorEastAsia"/>
          <w:sz w:val="28"/>
          <w:szCs w:val="28"/>
        </w:rPr>
        <w:t>连轧管有限公司</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根据贵方本项目投标邀请书规定，我方已按规定缴纳标书费。交款凭证见下表：</w:t>
      </w:r>
    </w:p>
    <w:p>
      <w:pPr>
        <w:rPr>
          <w:rFonts w:asciiTheme="minorEastAsia" w:hAnsiTheme="minorEastAsia" w:eastAsiaTheme="minorEastAsia"/>
          <w:sz w:val="28"/>
          <w:szCs w:val="28"/>
        </w:rPr>
      </w:pPr>
    </w:p>
    <w:tbl>
      <w:tblPr>
        <w:tblStyle w:val="37"/>
        <w:tblpPr w:leftFromText="180" w:rightFromText="180" w:vertAnchor="text" w:horzAnchor="margin" w:tblpXSpec="center" w:tblpY="57"/>
        <w:tblW w:w="9180"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Ex>
        <w:trPr>
          <w:trHeight w:val="7085" w:hRule="atLeast"/>
        </w:trPr>
        <w:tc>
          <w:tcPr>
            <w:tcW w:w="9180" w:type="dxa"/>
            <w:tcBorders>
              <w:top w:val="single" w:color="auto" w:sz="4" w:space="0"/>
              <w:bottom w:val="single" w:color="auto" w:sz="12" w:space="0"/>
            </w:tcBorders>
          </w:tcPr>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asciiTheme="minorEastAsia" w:hAnsiTheme="minorEastAsia" w:eastAsiaTheme="minorEastAsia"/>
                <w:sz w:val="28"/>
                <w:szCs w:val="28"/>
              </w:rPr>
              <w:t xml:space="preserve">                   </w:t>
            </w: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付款凭证粘贴处；</w:t>
            </w:r>
          </w:p>
          <w:p>
            <w:pPr>
              <w:rPr>
                <w:rFonts w:asciiTheme="minorEastAsia" w:hAnsiTheme="minorEastAsia" w:eastAsiaTheme="minorEastAsia"/>
                <w:sz w:val="28"/>
                <w:szCs w:val="28"/>
              </w:rPr>
            </w:pPr>
          </w:p>
        </w:tc>
      </w:tr>
    </w:tbl>
    <w:p>
      <w:pPr>
        <w:rPr>
          <w:rFonts w:asciiTheme="minorEastAsia" w:hAnsiTheme="minorEastAsia" w:eastAsiaTheme="minorEastAsia"/>
          <w:sz w:val="28"/>
          <w:szCs w:val="28"/>
        </w:rPr>
      </w:pPr>
    </w:p>
    <w:p>
      <w:pPr>
        <w:ind w:firstLine="1400" w:firstLineChars="500"/>
        <w:rPr>
          <w:rFonts w:asciiTheme="minorEastAsia" w:hAnsiTheme="minorEastAsia" w:eastAsiaTheme="minorEastAsia"/>
          <w:sz w:val="28"/>
          <w:szCs w:val="28"/>
        </w:rPr>
      </w:pPr>
      <w:r>
        <w:rPr>
          <w:rFonts w:hint="eastAsia" w:asciiTheme="minorEastAsia" w:hAnsiTheme="minorEastAsia" w:eastAsiaTheme="minorEastAsia"/>
          <w:sz w:val="28"/>
          <w:szCs w:val="28"/>
        </w:rPr>
        <w:t>投标人：</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（盖单位公章）</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法定代表人或其委托代理人：</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（签字或盖章）</w:t>
      </w:r>
    </w:p>
    <w:p>
      <w:pPr>
        <w:ind w:firstLine="1400" w:firstLineChars="500"/>
      </w:pPr>
      <w:r>
        <w:rPr>
          <w:rFonts w:hint="eastAsia" w:asciiTheme="minorEastAsia" w:hAnsiTheme="minorEastAsia" w:eastAsiaTheme="minorEastAsia"/>
          <w:sz w:val="28"/>
          <w:szCs w:val="28"/>
        </w:rPr>
        <w:t xml:space="preserve">日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期：</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年</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月</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日</w:t>
      </w:r>
    </w:p>
    <w:p>
      <w:pPr>
        <w:pStyle w:val="3"/>
        <w:tabs>
          <w:tab w:val="left" w:pos="2775"/>
          <w:tab w:val="center" w:pos="4451"/>
        </w:tabs>
        <w:spacing w:before="0" w:after="0" w:line="360" w:lineRule="auto"/>
        <w:jc w:val="left"/>
        <w:rPr>
          <w:rFonts w:hint="eastAsia" w:asciiTheme="minorEastAsia" w:hAnsiTheme="minorEastAsia" w:eastAsiaTheme="minorEastAsia"/>
          <w:b w:val="0"/>
          <w:bCs w:val="0"/>
          <w:sz w:val="28"/>
          <w:szCs w:val="28"/>
        </w:rPr>
      </w:pPr>
    </w:p>
    <w:p>
      <w:pPr>
        <w:pStyle w:val="3"/>
        <w:tabs>
          <w:tab w:val="left" w:pos="2775"/>
          <w:tab w:val="center" w:pos="4451"/>
        </w:tabs>
        <w:spacing w:before="0" w:after="0" w:line="360" w:lineRule="auto"/>
        <w:jc w:val="left"/>
        <w:rPr>
          <w:rFonts w:hint="eastAsia" w:asciiTheme="minorEastAsia" w:hAnsiTheme="minorEastAsia" w:eastAsiaTheme="minorEastAsia"/>
          <w:b w:val="0"/>
          <w:bCs w:val="0"/>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tabs>
          <w:tab w:val="left" w:pos="2775"/>
          <w:tab w:val="center" w:pos="4451"/>
        </w:tabs>
        <w:spacing w:before="0" w:after="0" w:line="360" w:lineRule="auto"/>
        <w:ind w:firstLine="2800" w:firstLineChars="1000"/>
        <w:jc w:val="left"/>
        <w:rPr>
          <w:rFonts w:hint="eastAsia" w:asciiTheme="minorEastAsia" w:hAnsiTheme="minorEastAsia" w:eastAsiaTheme="minorEastAsia"/>
          <w:b w:val="0"/>
          <w:bCs w:val="0"/>
          <w:sz w:val="28"/>
          <w:szCs w:val="28"/>
        </w:rPr>
      </w:pPr>
    </w:p>
    <w:p>
      <w:pPr>
        <w:pStyle w:val="3"/>
        <w:tabs>
          <w:tab w:val="left" w:pos="2775"/>
          <w:tab w:val="center" w:pos="4451"/>
        </w:tabs>
        <w:spacing w:before="0" w:after="0" w:line="360" w:lineRule="auto"/>
        <w:ind w:firstLine="2800" w:firstLineChars="1000"/>
        <w:jc w:val="left"/>
        <w:rPr>
          <w:rStyle w:val="40"/>
          <w:rFonts w:hint="eastAsia" w:asciiTheme="minorEastAsia" w:hAnsiTheme="minorEastAsia" w:eastAsiaTheme="minorEastAsia"/>
          <w:b w:val="0"/>
          <w:bCs w:val="0"/>
          <w:color w:val="000000"/>
          <w:sz w:val="28"/>
        </w:rPr>
      </w:pPr>
      <w:r>
        <w:rPr>
          <w:rFonts w:hint="eastAsia" w:asciiTheme="minorEastAsia" w:hAnsiTheme="minorEastAsia" w:eastAsiaTheme="minorEastAsia"/>
          <w:b w:val="0"/>
          <w:bCs w:val="0"/>
          <w:sz w:val="28"/>
          <w:szCs w:val="28"/>
        </w:rPr>
        <w:t>七、</w:t>
      </w:r>
      <w:r>
        <w:rPr>
          <w:rStyle w:val="40"/>
          <w:rFonts w:hint="eastAsia" w:asciiTheme="minorEastAsia" w:hAnsiTheme="minorEastAsia" w:eastAsiaTheme="minorEastAsia"/>
          <w:b w:val="0"/>
          <w:bCs w:val="0"/>
          <w:color w:val="000000"/>
          <w:sz w:val="28"/>
        </w:rPr>
        <w:t>投标单位开票信息表</w:t>
      </w:r>
      <w:bookmarkEnd w:id="33"/>
    </w:p>
    <w:p/>
    <w:p>
      <w:pPr>
        <w:tabs>
          <w:tab w:val="left" w:pos="4845"/>
        </w:tabs>
        <w:spacing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致：衡阳华菱钢管/连轧管有限公司</w:t>
      </w:r>
      <w:r>
        <w:rPr>
          <w:rFonts w:asciiTheme="minorEastAsia" w:hAnsiTheme="minorEastAsia" w:eastAsiaTheme="minorEastAsia"/>
          <w:sz w:val="28"/>
          <w:szCs w:val="28"/>
        </w:rPr>
        <w:tab/>
      </w:r>
    </w:p>
    <w:p>
      <w:pPr>
        <w:ind w:firstLine="57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根据贵方</w:t>
      </w:r>
      <w:r>
        <w:rPr>
          <w:rFonts w:hint="eastAsia" w:ascii="仿宋" w:hAnsi="仿宋" w:eastAsia="仿宋"/>
          <w:b/>
          <w:bCs/>
          <w:sz w:val="32"/>
          <w:szCs w:val="32"/>
        </w:rPr>
        <w:t>202</w:t>
      </w:r>
      <w:r>
        <w:rPr>
          <w:rFonts w:hint="eastAsia" w:ascii="仿宋" w:hAnsi="仿宋" w:eastAsia="仿宋"/>
          <w:b/>
          <w:bCs/>
          <w:sz w:val="32"/>
          <w:szCs w:val="32"/>
          <w:lang w:val="en-US" w:eastAsia="zh-CN"/>
        </w:rPr>
        <w:t>2</w:t>
      </w:r>
      <w:r>
        <w:rPr>
          <w:rFonts w:hint="eastAsia" w:ascii="仿宋" w:hAnsi="仿宋" w:eastAsia="仿宋"/>
          <w:b/>
          <w:bCs/>
          <w:sz w:val="32"/>
          <w:szCs w:val="32"/>
        </w:rPr>
        <w:t>年</w:t>
      </w:r>
      <w:r>
        <w:rPr>
          <w:rFonts w:hint="eastAsia" w:ascii="仿宋" w:hAnsi="仿宋" w:eastAsia="仿宋"/>
          <w:b/>
          <w:bCs/>
          <w:sz w:val="32"/>
          <w:szCs w:val="32"/>
          <w:lang w:val="en-US" w:eastAsia="zh-CN"/>
        </w:rPr>
        <w:t>2-5</w:t>
      </w:r>
      <w:r>
        <w:rPr>
          <w:rFonts w:hint="eastAsia" w:ascii="仿宋" w:hAnsi="仿宋" w:eastAsia="仿宋"/>
          <w:b/>
          <w:bCs/>
          <w:sz w:val="32"/>
          <w:szCs w:val="32"/>
        </w:rPr>
        <w:t>月</w:t>
      </w:r>
      <w:r>
        <w:rPr>
          <w:rFonts w:hint="eastAsia" w:ascii="仿宋" w:hAnsi="仿宋" w:eastAsia="仿宋"/>
          <w:b/>
          <w:bCs/>
          <w:sz w:val="32"/>
          <w:szCs w:val="32"/>
          <w:lang w:eastAsia="zh-CN"/>
        </w:rPr>
        <w:t>镁砂</w:t>
      </w:r>
      <w:r>
        <w:rPr>
          <w:rFonts w:hint="eastAsia" w:ascii="仿宋" w:hAnsi="仿宋" w:eastAsia="仿宋"/>
          <w:b/>
          <w:bCs/>
          <w:sz w:val="32"/>
          <w:szCs w:val="32"/>
        </w:rPr>
        <w:t>采购项目</w:t>
      </w:r>
      <w:r>
        <w:rPr>
          <w:rFonts w:hint="eastAsia" w:asciiTheme="minorEastAsia" w:hAnsiTheme="minorEastAsia" w:eastAsiaTheme="minorEastAsia"/>
          <w:sz w:val="28"/>
          <w:szCs w:val="28"/>
        </w:rPr>
        <w:t>招标文件</w:t>
      </w:r>
      <w:r>
        <w:rPr>
          <w:rFonts w:hint="eastAsia" w:asciiTheme="minorEastAsia" w:hAnsiTheme="minorEastAsia" w:eastAsiaTheme="minorEastAsia"/>
          <w:sz w:val="28"/>
          <w:szCs w:val="28"/>
          <w:u w:val="single"/>
        </w:rPr>
        <w:t>HG</w:t>
      </w:r>
      <w:r>
        <w:rPr>
          <w:rFonts w:hint="eastAsia" w:asciiTheme="minorEastAsia" w:hAnsiTheme="minorEastAsia" w:eastAsiaTheme="minorEastAsia"/>
          <w:sz w:val="28"/>
          <w:szCs w:val="28"/>
          <w:u w:val="single"/>
          <w:lang w:val="en-US" w:eastAsia="zh-CN"/>
        </w:rPr>
        <w:t>CGY22014</w:t>
      </w:r>
      <w:r>
        <w:rPr>
          <w:rFonts w:hint="eastAsia" w:asciiTheme="minorEastAsia" w:hAnsiTheme="minorEastAsia" w:eastAsiaTheme="minorEastAsia"/>
          <w:sz w:val="28"/>
          <w:szCs w:val="28"/>
        </w:rPr>
        <w:t xml:space="preserve">（项目编号）规定，我方承诺填报开票信息内容均真实、准确、有效。如我方中标，并按规定交纳中标服务费，是否需要向招标方申领票据。（ </w:t>
      </w:r>
      <w:r>
        <w:rPr>
          <w:rFonts w:hint="eastAsia" w:asciiTheme="minorEastAsia" w:hAnsiTheme="minorEastAsia" w:eastAsiaTheme="minorEastAsia"/>
          <w:bCs/>
          <w:sz w:val="28"/>
          <w:szCs w:val="28"/>
        </w:rPr>
        <w:t>□是</w:t>
      </w: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w:t>
      </w:r>
      <w:r>
        <w:rPr>
          <w:rFonts w:hint="eastAsia" w:asciiTheme="minorEastAsia" w:hAnsiTheme="minorEastAsia" w:eastAsiaTheme="minorEastAsia"/>
          <w:sz w:val="28"/>
          <w:szCs w:val="28"/>
        </w:rPr>
        <w:t>否；</w:t>
      </w:r>
      <w:r>
        <w:rPr>
          <w:rFonts w:hint="eastAsia" w:asciiTheme="minorEastAsia" w:hAnsiTheme="minorEastAsia" w:eastAsiaTheme="minorEastAsia"/>
          <w:b/>
          <w:bCs/>
          <w:sz w:val="28"/>
          <w:szCs w:val="28"/>
        </w:rPr>
        <w:t>□中√选</w:t>
      </w:r>
      <w:r>
        <w:rPr>
          <w:rFonts w:hint="eastAsia" w:asciiTheme="minorEastAsia" w:hAnsiTheme="minorEastAsia" w:eastAsiaTheme="minorEastAsia"/>
          <w:sz w:val="28"/>
          <w:szCs w:val="28"/>
        </w:rPr>
        <w:t>）我方开票信息见下表：</w:t>
      </w:r>
    </w:p>
    <w:tbl>
      <w:tblPr>
        <w:tblStyle w:val="37"/>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7"/>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9"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开票名称：</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6"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纳税人识别号：</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2"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地址：</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8"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固定电话：</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开户银行：</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2377" w:type="dxa"/>
            <w:vAlign w:val="center"/>
          </w:tcPr>
          <w:p>
            <w:pPr>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银行账号</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bl>
    <w:p>
      <w:pPr>
        <w:snapToGrid w:val="0"/>
        <w:spacing w:line="360" w:lineRule="auto"/>
        <w:ind w:right="560" w:firstLine="2240" w:firstLineChars="800"/>
        <w:rPr>
          <w:rFonts w:cs="宋体" w:asciiTheme="minorEastAsia" w:hAnsiTheme="minorEastAsia" w:eastAsiaTheme="minorEastAsia"/>
          <w:sz w:val="28"/>
          <w:szCs w:val="28"/>
        </w:rPr>
      </w:pPr>
    </w:p>
    <w:p>
      <w:pPr>
        <w:snapToGrid w:val="0"/>
        <w:spacing w:line="360" w:lineRule="auto"/>
        <w:ind w:right="560" w:firstLine="1820" w:firstLineChars="65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 ： （盖单位公章）</w:t>
      </w:r>
    </w:p>
    <w:p>
      <w:pPr>
        <w:wordWrap w:val="0"/>
        <w:snapToGrid w:val="0"/>
        <w:spacing w:line="360" w:lineRule="auto"/>
        <w:ind w:right="560" w:firstLine="1680" w:firstLineChars="6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法定代表人或其委托代理人：      （</w:t>
      </w:r>
      <w:r>
        <w:rPr>
          <w:rFonts w:hint="eastAsia" w:asciiTheme="minorEastAsia" w:hAnsiTheme="minorEastAsia" w:eastAsiaTheme="minorEastAsia"/>
          <w:sz w:val="28"/>
          <w:szCs w:val="28"/>
        </w:rPr>
        <w:t>签字或盖章</w:t>
      </w:r>
      <w:r>
        <w:rPr>
          <w:rFonts w:hint="eastAsia" w:cs="宋体" w:asciiTheme="minorEastAsia" w:hAnsiTheme="minorEastAsia" w:eastAsiaTheme="minorEastAsia"/>
          <w:sz w:val="28"/>
          <w:szCs w:val="28"/>
        </w:rPr>
        <w:t>）</w:t>
      </w:r>
    </w:p>
    <w:p>
      <w:pPr>
        <w:spacing w:line="276" w:lineRule="auto"/>
        <w:rPr>
          <w:rStyle w:val="47"/>
          <w:rFonts w:cs="宋体" w:asciiTheme="minorEastAsia" w:hAnsiTheme="minorEastAsia" w:eastAsiaTheme="minorEastAsia"/>
          <w:sz w:val="28"/>
          <w:szCs w:val="28"/>
        </w:rPr>
      </w:pPr>
      <w:r>
        <w:rPr>
          <w:rFonts w:hint="eastAsia" w:asciiTheme="minorEastAsia" w:hAnsiTheme="minorEastAsia" w:eastAsiaTheme="minorEastAsia"/>
          <w:sz w:val="28"/>
          <w:szCs w:val="28"/>
        </w:rPr>
        <w:t xml:space="preserve">             日  期：     年     月     日</w:t>
      </w: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pStyle w:val="27"/>
        <w:tabs>
          <w:tab w:val="right" w:leader="dot" w:pos="8720"/>
        </w:tabs>
        <w:ind w:left="0" w:leftChars="0"/>
        <w:jc w:val="left"/>
        <w:rPr>
          <w:rFonts w:hint="eastAsia" w:cs="宋体" w:asciiTheme="minorEastAsia" w:hAnsiTheme="minorEastAsia" w:eastAsiaTheme="minorEastAsia"/>
          <w:sz w:val="28"/>
          <w:szCs w:val="28"/>
          <w:lang w:val="zh-CN"/>
        </w:rPr>
      </w:pPr>
      <w:r>
        <w:rPr>
          <w:rFonts w:hint="eastAsia" w:cs="宋体" w:asciiTheme="minorEastAsia" w:hAnsiTheme="minorEastAsia" w:eastAsiaTheme="minorEastAsia"/>
          <w:sz w:val="28"/>
          <w:szCs w:val="28"/>
          <w:lang w:val="zh-CN"/>
        </w:rPr>
        <w:t xml:space="preserve">                        八、其他资格证明材料</w:t>
      </w: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lang w:val="zh-CN"/>
        </w:rPr>
      </w:pPr>
    </w:p>
    <w:p>
      <w:pPr>
        <w:pStyle w:val="3"/>
        <w:numPr>
          <w:ilvl w:val="0"/>
          <w:numId w:val="19"/>
        </w:numPr>
        <w:spacing w:before="0" w:after="0" w:line="360" w:lineRule="auto"/>
        <w:jc w:val="center"/>
        <w:rPr>
          <w:rFonts w:asciiTheme="minorEastAsia" w:hAnsiTheme="minorEastAsia" w:eastAsiaTheme="minorEastAsia"/>
          <w:b w:val="0"/>
          <w:bCs w:val="0"/>
          <w:sz w:val="28"/>
          <w:szCs w:val="28"/>
        </w:rPr>
      </w:pPr>
      <w:bookmarkStart w:id="36" w:name="_Toc1544825"/>
      <w:bookmarkStart w:id="37" w:name="_Toc498065858"/>
      <w:bookmarkStart w:id="38" w:name="_Toc19191"/>
      <w:bookmarkStart w:id="39" w:name="_Toc7669"/>
      <w:bookmarkStart w:id="40" w:name="_Toc5430"/>
      <w:bookmarkStart w:id="41" w:name="_Toc494274201"/>
      <w:bookmarkStart w:id="42" w:name="_Toc11139"/>
      <w:bookmarkStart w:id="43" w:name="_Toc494275662"/>
      <w:bookmarkStart w:id="44" w:name="_Toc482193558"/>
      <w:bookmarkStart w:id="45" w:name="_Toc4308"/>
      <w:bookmarkStart w:id="46" w:name="_Toc482194984"/>
      <w:bookmarkStart w:id="47" w:name="_Toc14168"/>
      <w:bookmarkStart w:id="48" w:name="_Toc479587994"/>
      <w:bookmarkStart w:id="49" w:name="_Toc485718608"/>
      <w:r>
        <w:rPr>
          <w:rFonts w:hint="eastAsia" w:asciiTheme="minorEastAsia" w:hAnsiTheme="minorEastAsia" w:eastAsiaTheme="minorEastAsia"/>
          <w:b w:val="0"/>
          <w:bCs w:val="0"/>
          <w:sz w:val="28"/>
          <w:szCs w:val="28"/>
        </w:rPr>
        <w:t>开标一览表</w:t>
      </w:r>
      <w:bookmarkEnd w:id="36"/>
    </w:p>
    <w:p/>
    <w:p/>
    <w:p>
      <w:pPr>
        <w:tabs>
          <w:tab w:val="left" w:pos="6420"/>
        </w:tabs>
      </w:pPr>
      <w:r>
        <w:tab/>
      </w:r>
    </w:p>
    <w:p>
      <w:pPr>
        <w:pStyle w:val="3"/>
        <w:snapToGrid w:val="0"/>
        <w:spacing w:before="0" w:after="0" w:line="288" w:lineRule="auto"/>
        <w:rPr>
          <w:rFonts w:cs="宋体" w:asciiTheme="minorEastAsia" w:hAnsiTheme="minorEastAsia" w:eastAsiaTheme="minorEastAsia"/>
          <w:b w:val="0"/>
          <w:bCs w:val="0"/>
          <w:sz w:val="28"/>
          <w:szCs w:val="28"/>
        </w:rPr>
      </w:pPr>
      <w:bookmarkStart w:id="50" w:name="_Toc1544826"/>
      <w:r>
        <w:rPr>
          <w:rFonts w:hint="eastAsia" w:cs="宋体" w:asciiTheme="minorEastAsia" w:hAnsiTheme="minorEastAsia" w:eastAsiaTheme="minorEastAsia"/>
          <w:b w:val="0"/>
          <w:bCs w:val="0"/>
          <w:sz w:val="28"/>
          <w:szCs w:val="28"/>
        </w:rPr>
        <w:t>详见EXCEL版《开标一览表》。</w:t>
      </w:r>
      <w:bookmarkEnd w:id="50"/>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3"/>
        <w:spacing w:before="0" w:after="0" w:line="360" w:lineRule="auto"/>
        <w:jc w:val="center"/>
        <w:rPr>
          <w:rFonts w:asciiTheme="minorEastAsia" w:hAnsiTheme="minorEastAsia" w:eastAsiaTheme="minorEastAsia"/>
          <w:b w:val="0"/>
          <w:bCs w:val="0"/>
          <w:sz w:val="28"/>
          <w:szCs w:val="28"/>
        </w:rPr>
      </w:pPr>
      <w:bookmarkStart w:id="51" w:name="_Toc1544827"/>
      <w:r>
        <w:rPr>
          <w:rFonts w:hint="eastAsia" w:asciiTheme="minorEastAsia" w:hAnsiTheme="minorEastAsia" w:eastAsiaTheme="minorEastAsia"/>
          <w:b w:val="0"/>
          <w:bCs w:val="0"/>
          <w:sz w:val="28"/>
          <w:szCs w:val="28"/>
        </w:rPr>
        <w:t>二.商务/技术偏离表</w:t>
      </w:r>
      <w:bookmarkEnd w:id="51"/>
    </w:p>
    <w:p>
      <w:pPr>
        <w:pStyle w:val="3"/>
        <w:snapToGrid w:val="0"/>
        <w:spacing w:before="0" w:after="0" w:line="288" w:lineRule="auto"/>
        <w:rPr>
          <w:rFonts w:cs="宋体" w:asciiTheme="minorEastAsia" w:hAnsiTheme="minorEastAsia" w:eastAsiaTheme="minorEastAsia"/>
          <w:b w:val="0"/>
          <w:bCs w:val="0"/>
          <w:sz w:val="28"/>
          <w:szCs w:val="28"/>
        </w:rPr>
      </w:pPr>
      <w:r>
        <w:rPr>
          <w:rFonts w:hint="eastAsia" w:cs="宋体" w:asciiTheme="minorEastAsia" w:hAnsiTheme="minorEastAsia" w:eastAsiaTheme="minorEastAsia"/>
          <w:b w:val="0"/>
          <w:bCs w:val="0"/>
          <w:sz w:val="28"/>
          <w:szCs w:val="28"/>
        </w:rPr>
        <w:t>详见EXCEL版《</w:t>
      </w:r>
      <w:r>
        <w:rPr>
          <w:rFonts w:hint="eastAsia" w:asciiTheme="minorEastAsia" w:hAnsiTheme="minorEastAsia" w:eastAsiaTheme="minorEastAsia"/>
          <w:b w:val="0"/>
          <w:bCs w:val="0"/>
          <w:sz w:val="28"/>
          <w:szCs w:val="28"/>
        </w:rPr>
        <w:t>商务/技术偏离表</w:t>
      </w:r>
      <w:r>
        <w:rPr>
          <w:rFonts w:hint="eastAsia" w:cs="宋体" w:asciiTheme="minorEastAsia" w:hAnsiTheme="minorEastAsia" w:eastAsiaTheme="minorEastAsia"/>
          <w:b w:val="0"/>
          <w:bCs w:val="0"/>
          <w:sz w:val="28"/>
          <w:szCs w:val="28"/>
        </w:rPr>
        <w:t>》。</w:t>
      </w:r>
    </w:p>
    <w:p>
      <w:pPr>
        <w:rPr>
          <w:rFonts w:cs="宋体" w:asciiTheme="minorEastAsia" w:hAnsiTheme="minorEastAsia" w:eastAsiaTheme="minorEastAsia"/>
          <w:sz w:val="28"/>
          <w:szCs w:val="28"/>
        </w:rPr>
      </w:pPr>
    </w:p>
    <w:bookmarkEnd w:id="37"/>
    <w:bookmarkEnd w:id="38"/>
    <w:bookmarkEnd w:id="39"/>
    <w:bookmarkEnd w:id="40"/>
    <w:bookmarkEnd w:id="41"/>
    <w:bookmarkEnd w:id="42"/>
    <w:bookmarkEnd w:id="43"/>
    <w:bookmarkEnd w:id="44"/>
    <w:bookmarkEnd w:id="45"/>
    <w:bookmarkEnd w:id="46"/>
    <w:bookmarkEnd w:id="47"/>
    <w:bookmarkEnd w:id="48"/>
    <w:bookmarkEnd w:id="49"/>
    <w:p>
      <w:pPr>
        <w:rPr>
          <w:rFonts w:cs="宋体" w:asciiTheme="minorEastAsia" w:hAnsiTheme="minorEastAsia" w:eastAsiaTheme="minorEastAsia"/>
          <w:sz w:val="28"/>
          <w:szCs w:val="28"/>
        </w:rPr>
      </w:pPr>
    </w:p>
    <w:sectPr>
      <w:footerReference r:id="rId6" w:type="default"/>
      <w:pgSz w:w="11907" w:h="16840"/>
      <w:pgMar w:top="1304" w:right="1304" w:bottom="1304" w:left="1701"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7" w:lineRule="exact"/>
      <w:ind w:firstLine="1154"/>
      <w:rPr>
        <w:rFonts w:ascii="Microsoft JhengHei" w:hAnsi="Microsoft JhengHei" w:eastAsia="Microsoft JhengHei" w:cs="Microsoft JhengHei"/>
        <w:sz w:val="16"/>
        <w:szCs w:val="16"/>
      </w:rPr>
    </w:pPr>
    <w:r>
      <w:rPr>
        <w:rFonts w:ascii="Microsoft JhengHei" w:hAnsi="Microsoft JhengHei" w:eastAsia="Microsoft JhengHei" w:cs="Microsoft JhengHei"/>
        <w:position w:val="-2"/>
        <w:sz w:val="16"/>
        <w:szCs w:val="16"/>
      </w:rPr>
      <w:t>２</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4"/>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hpgkvTAAAABQEAAA8AAAAAAAAAAQAgAAAAIgAAAGRycy9kb3ducmV2LnhtbFBLAQIUABQA&#10;AAAIAIdO4kBiaDVcvAEAAGMDAAAOAAAAAAAAAAEAIAAAACIBAABkcnMvZTJvRG9jLnhtbFBLBQYA&#10;AAAABgAGAFkBAABQBQAAAAA=&#10;">
              <v:fill on="f" focussize="0,0"/>
              <v:stroke on="f" weight="1.2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26</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87Ci&#10;P9AAAAADAQAADwAAAAAAAAABACAAAAAiAAAAZHJzL2Rvd25yZXYueG1sUEsBAhQAFAAAAAgAh07i&#10;QEQoUuC4AQAAVwMAAA4AAAAAAAAAAQAgAAAAHwEAAGRycy9lMm9Eb2MueG1sUEsFBgAAAAAGAAYA&#10;WQEAAEkFA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26</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625E"/>
    <w:multiLevelType w:val="multilevel"/>
    <w:tmpl w:val="023F625E"/>
    <w:lvl w:ilvl="0" w:tentative="0">
      <w:start w:val="5"/>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
    <w:nsid w:val="1296257D"/>
    <w:multiLevelType w:val="multilevel"/>
    <w:tmpl w:val="1296257D"/>
    <w:lvl w:ilvl="0" w:tentative="0">
      <w:start w:val="9"/>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2">
    <w:nsid w:val="17F256FB"/>
    <w:multiLevelType w:val="multilevel"/>
    <w:tmpl w:val="17F256FB"/>
    <w:lvl w:ilvl="0" w:tentative="0">
      <w:start w:val="7"/>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3">
    <w:nsid w:val="1EC80F95"/>
    <w:multiLevelType w:val="multilevel"/>
    <w:tmpl w:val="1EC80F95"/>
    <w:lvl w:ilvl="0" w:tentative="0">
      <w:start w:val="1"/>
      <w:numFmt w:val="decimal"/>
      <w:lvlText w:val="%1、"/>
      <w:lvlJc w:val="left"/>
      <w:pPr>
        <w:tabs>
          <w:tab w:val="left" w:pos="851"/>
        </w:tabs>
        <w:ind w:left="851" w:hanging="511"/>
      </w:pPr>
      <w:rPr>
        <w:rFonts w:hint="eastAsia" w:eastAsia="宋体"/>
        <w:b w:val="0"/>
        <w:i w:val="0"/>
        <w:sz w:val="24"/>
        <w:szCs w:val="24"/>
      </w:rPr>
    </w:lvl>
    <w:lvl w:ilvl="1" w:tentative="0">
      <w:start w:val="1"/>
      <w:numFmt w:val="decimal"/>
      <w:lvlText w:val="（%2）"/>
      <w:lvlJc w:val="left"/>
      <w:pPr>
        <w:tabs>
          <w:tab w:val="left" w:pos="720"/>
        </w:tabs>
        <w:ind w:left="477" w:hanging="47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32F758D"/>
    <w:multiLevelType w:val="multilevel"/>
    <w:tmpl w:val="232F758D"/>
    <w:lvl w:ilvl="0" w:tentative="0">
      <w:start w:val="4"/>
      <w:numFmt w:val="decimal"/>
      <w:lvlText w:val="%1."/>
      <w:lvlJc w:val="left"/>
      <w:pPr>
        <w:tabs>
          <w:tab w:val="left" w:pos="360"/>
        </w:tabs>
        <w:ind w:left="300" w:hanging="300"/>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5">
    <w:nsid w:val="2578BB10"/>
    <w:multiLevelType w:val="singleLevel"/>
    <w:tmpl w:val="2578BB10"/>
    <w:lvl w:ilvl="0" w:tentative="0">
      <w:start w:val="1"/>
      <w:numFmt w:val="decimal"/>
      <w:suff w:val="nothing"/>
      <w:lvlText w:val="%1、"/>
      <w:lvlJc w:val="left"/>
    </w:lvl>
  </w:abstractNum>
  <w:abstractNum w:abstractNumId="6">
    <w:nsid w:val="2C9E552F"/>
    <w:multiLevelType w:val="multilevel"/>
    <w:tmpl w:val="2C9E552F"/>
    <w:lvl w:ilvl="0" w:tentative="0">
      <w:start w:val="6"/>
      <w:numFmt w:val="decimal"/>
      <w:lvlText w:val="%1"/>
      <w:lvlJc w:val="left"/>
      <w:pPr>
        <w:tabs>
          <w:tab w:val="left" w:pos="432"/>
        </w:tabs>
        <w:ind w:left="432" w:hanging="432"/>
      </w:pPr>
      <w:rPr>
        <w:rFonts w:hint="eastAsia" w:eastAsia="宋体"/>
        <w:b/>
        <w:i w:val="0"/>
        <w:sz w:val="24"/>
      </w:rPr>
    </w:lvl>
    <w:lvl w:ilvl="1" w:tentative="0">
      <w:start w:val="1"/>
      <w:numFmt w:val="decimal"/>
      <w:isLgl/>
      <w:lvlText w:val="%1.%2"/>
      <w:lvlJc w:val="left"/>
      <w:pPr>
        <w:tabs>
          <w:tab w:val="left" w:pos="576"/>
        </w:tabs>
        <w:ind w:left="576" w:hanging="576"/>
      </w:pPr>
      <w:rPr>
        <w:rFonts w:hint="eastAsia" w:eastAsia="宋体"/>
        <w:b w:val="0"/>
        <w:i w:val="0"/>
        <w:sz w:val="24"/>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tentative="0">
      <w:start w:val="8"/>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tentative="0">
      <w:start w:val="6"/>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9">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0">
    <w:nsid w:val="4BEA0717"/>
    <w:multiLevelType w:val="multilevel"/>
    <w:tmpl w:val="4BEA0717"/>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D9C0D13"/>
    <w:multiLevelType w:val="multilevel"/>
    <w:tmpl w:val="4D9C0D13"/>
    <w:lvl w:ilvl="0" w:tentative="0">
      <w:start w:val="10"/>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5DA29F9"/>
    <w:multiLevelType w:val="multilevel"/>
    <w:tmpl w:val="65DA29F9"/>
    <w:lvl w:ilvl="0" w:tentative="0">
      <w:start w:val="3"/>
      <w:numFmt w:val="decimal"/>
      <w:lvlText w:val="%1."/>
      <w:lvlJc w:val="left"/>
      <w:pPr>
        <w:tabs>
          <w:tab w:val="left" w:pos="360"/>
        </w:tabs>
        <w:ind w:left="300" w:hanging="300"/>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4">
    <w:nsid w:val="68292A80"/>
    <w:multiLevelType w:val="multilevel"/>
    <w:tmpl w:val="68292A80"/>
    <w:lvl w:ilvl="0" w:tentative="0">
      <w:start w:val="1"/>
      <w:numFmt w:val="decimal"/>
      <w:lvlText w:val="%1."/>
      <w:lvlJc w:val="left"/>
      <w:pPr>
        <w:tabs>
          <w:tab w:val="left" w:pos="300"/>
        </w:tabs>
        <w:ind w:left="300" w:hanging="300"/>
      </w:pPr>
      <w:rPr>
        <w:strike w:val="0"/>
        <w:dstrike w:val="0"/>
        <w:u w:val="none"/>
      </w:rPr>
    </w:lvl>
    <w:lvl w:ilvl="1" w:tentative="0">
      <w:start w:val="1"/>
      <w:numFmt w:val="decimal"/>
      <w:isLgl/>
      <w:lvlText w:val="%1.%2"/>
      <w:lvlJc w:val="left"/>
      <w:pPr>
        <w:tabs>
          <w:tab w:val="left" w:pos="480"/>
        </w:tabs>
        <w:ind w:left="480" w:hanging="48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1080"/>
        </w:tabs>
        <w:ind w:left="1080" w:hanging="108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440"/>
        </w:tabs>
        <w:ind w:left="1440" w:hanging="1440"/>
      </w:pPr>
    </w:lvl>
    <w:lvl w:ilvl="6" w:tentative="0">
      <w:start w:val="1"/>
      <w:numFmt w:val="decimal"/>
      <w:isLgl/>
      <w:lvlText w:val="%1.%2.%3.%4.%5.%6.%7"/>
      <w:lvlJc w:val="left"/>
      <w:pPr>
        <w:tabs>
          <w:tab w:val="left" w:pos="1800"/>
        </w:tabs>
        <w:ind w:left="1800" w:hanging="1800"/>
      </w:pPr>
    </w:lvl>
    <w:lvl w:ilvl="7" w:tentative="0">
      <w:start w:val="1"/>
      <w:numFmt w:val="decimal"/>
      <w:isLgl/>
      <w:lvlText w:val="%1.%2.%3.%4.%5.%6.%7.%8"/>
      <w:lvlJc w:val="left"/>
      <w:pPr>
        <w:tabs>
          <w:tab w:val="left" w:pos="1800"/>
        </w:tabs>
        <w:ind w:left="1800" w:hanging="1800"/>
      </w:pPr>
    </w:lvl>
    <w:lvl w:ilvl="8" w:tentative="0">
      <w:start w:val="1"/>
      <w:numFmt w:val="decimal"/>
      <w:isLgl/>
      <w:lvlText w:val="%1.%2.%3.%4.%5.%6.%7.%8.%9"/>
      <w:lvlJc w:val="left"/>
      <w:pPr>
        <w:tabs>
          <w:tab w:val="left" w:pos="2160"/>
        </w:tabs>
        <w:ind w:left="2160" w:hanging="2160"/>
      </w:pPr>
    </w:lvl>
  </w:abstractNum>
  <w:abstractNum w:abstractNumId="15">
    <w:nsid w:val="68D44C88"/>
    <w:multiLevelType w:val="multilevel"/>
    <w:tmpl w:val="68D44C88"/>
    <w:lvl w:ilvl="0" w:tentative="0">
      <w:start w:val="1"/>
      <w:numFmt w:val="decimal"/>
      <w:lvlText w:val="5.1.%1"/>
      <w:lvlJc w:val="left"/>
      <w:pPr>
        <w:tabs>
          <w:tab w:val="left" w:pos="1974"/>
        </w:tabs>
        <w:ind w:left="1974" w:hanging="680"/>
      </w:pPr>
      <w:rPr>
        <w:rFonts w:hint="eastAsia"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abstractNum w:abstractNumId="17">
    <w:nsid w:val="7BFA7AB0"/>
    <w:multiLevelType w:val="multilevel"/>
    <w:tmpl w:val="7BFA7AB0"/>
    <w:lvl w:ilvl="0" w:tentative="0">
      <w:start w:val="1"/>
      <w:numFmt w:val="japaneseCounting"/>
      <w:lvlText w:val="%1、"/>
      <w:lvlJc w:val="left"/>
      <w:pPr>
        <w:ind w:left="1040" w:hanging="720"/>
      </w:pPr>
      <w:rPr>
        <w:rFonts w:hint="default"/>
      </w:r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abstractNum w:abstractNumId="18">
    <w:nsid w:val="7D376BCF"/>
    <w:multiLevelType w:val="multilevel"/>
    <w:tmpl w:val="7D376BCF"/>
    <w:lvl w:ilvl="0" w:tentative="0">
      <w:start w:val="2"/>
      <w:numFmt w:val="decimal"/>
      <w:lvlText w:val="%1."/>
      <w:lvlJc w:val="left"/>
      <w:pPr>
        <w:tabs>
          <w:tab w:val="left" w:pos="360"/>
        </w:tabs>
        <w:ind w:left="300" w:hanging="300"/>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num w:numId="1">
    <w:abstractNumId w:val="16"/>
  </w:num>
  <w:num w:numId="2">
    <w:abstractNumId w:val="9"/>
  </w:num>
  <w:num w:numId="3">
    <w:abstractNumId w:val="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4"/>
  </w:num>
  <w:num w:numId="8">
    <w:abstractNumId w:val="0"/>
  </w:num>
  <w:num w:numId="9">
    <w:abstractNumId w:val="15"/>
  </w:num>
  <w:num w:numId="10">
    <w:abstractNumId w:val="8"/>
  </w:num>
  <w:num w:numId="11">
    <w:abstractNumId w:val="6"/>
  </w:num>
  <w:num w:numId="12">
    <w:abstractNumId w:val="2"/>
  </w:num>
  <w:num w:numId="13">
    <w:abstractNumId w:val="7"/>
  </w:num>
  <w:num w:numId="14">
    <w:abstractNumId w:val="1"/>
  </w:num>
  <w:num w:numId="15">
    <w:abstractNumId w:val="11"/>
  </w:num>
  <w:num w:numId="16">
    <w:abstractNumId w:val="17"/>
  </w:num>
  <w:num w:numId="17">
    <w:abstractNumId w:val="3"/>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4E"/>
    <w:rsid w:val="00000B77"/>
    <w:rsid w:val="00002906"/>
    <w:rsid w:val="00004C52"/>
    <w:rsid w:val="0000507E"/>
    <w:rsid w:val="00010676"/>
    <w:rsid w:val="000110DA"/>
    <w:rsid w:val="00014B8C"/>
    <w:rsid w:val="00021964"/>
    <w:rsid w:val="00022DA6"/>
    <w:rsid w:val="00023672"/>
    <w:rsid w:val="00027925"/>
    <w:rsid w:val="00027D01"/>
    <w:rsid w:val="0003251B"/>
    <w:rsid w:val="00037B3B"/>
    <w:rsid w:val="00040A9F"/>
    <w:rsid w:val="00043974"/>
    <w:rsid w:val="00043A05"/>
    <w:rsid w:val="00045DDD"/>
    <w:rsid w:val="00047C4A"/>
    <w:rsid w:val="00053E5C"/>
    <w:rsid w:val="00054B1A"/>
    <w:rsid w:val="0006653B"/>
    <w:rsid w:val="00067A6D"/>
    <w:rsid w:val="000771A6"/>
    <w:rsid w:val="00090D61"/>
    <w:rsid w:val="000951EA"/>
    <w:rsid w:val="000A0A4C"/>
    <w:rsid w:val="000A1CA2"/>
    <w:rsid w:val="000A2328"/>
    <w:rsid w:val="000A4A8F"/>
    <w:rsid w:val="000A5D1E"/>
    <w:rsid w:val="000A6808"/>
    <w:rsid w:val="000B0292"/>
    <w:rsid w:val="000B2234"/>
    <w:rsid w:val="000B2CF4"/>
    <w:rsid w:val="000B37CC"/>
    <w:rsid w:val="000B3E43"/>
    <w:rsid w:val="000B6AAE"/>
    <w:rsid w:val="000C0F1C"/>
    <w:rsid w:val="000C11DD"/>
    <w:rsid w:val="000C1FA7"/>
    <w:rsid w:val="000C55CF"/>
    <w:rsid w:val="000C75FA"/>
    <w:rsid w:val="000D36DF"/>
    <w:rsid w:val="000D5742"/>
    <w:rsid w:val="000D64E0"/>
    <w:rsid w:val="000E1C04"/>
    <w:rsid w:val="000E1F95"/>
    <w:rsid w:val="000E29A8"/>
    <w:rsid w:val="000E6149"/>
    <w:rsid w:val="000E79F5"/>
    <w:rsid w:val="00100772"/>
    <w:rsid w:val="00101779"/>
    <w:rsid w:val="00101C03"/>
    <w:rsid w:val="00101FAC"/>
    <w:rsid w:val="001020DE"/>
    <w:rsid w:val="0010255E"/>
    <w:rsid w:val="001039F6"/>
    <w:rsid w:val="00106CBD"/>
    <w:rsid w:val="001078CF"/>
    <w:rsid w:val="00111D46"/>
    <w:rsid w:val="001125A8"/>
    <w:rsid w:val="00113FA4"/>
    <w:rsid w:val="00114AD2"/>
    <w:rsid w:val="00115141"/>
    <w:rsid w:val="001153C5"/>
    <w:rsid w:val="00115866"/>
    <w:rsid w:val="00116484"/>
    <w:rsid w:val="00117215"/>
    <w:rsid w:val="001200A8"/>
    <w:rsid w:val="00124105"/>
    <w:rsid w:val="001277A1"/>
    <w:rsid w:val="00131AB1"/>
    <w:rsid w:val="001350DF"/>
    <w:rsid w:val="00135648"/>
    <w:rsid w:val="00137031"/>
    <w:rsid w:val="00137C3E"/>
    <w:rsid w:val="00141D84"/>
    <w:rsid w:val="00144D41"/>
    <w:rsid w:val="001470B9"/>
    <w:rsid w:val="001471B8"/>
    <w:rsid w:val="0014798E"/>
    <w:rsid w:val="00153A36"/>
    <w:rsid w:val="001551E2"/>
    <w:rsid w:val="00155BF1"/>
    <w:rsid w:val="00155C12"/>
    <w:rsid w:val="00161400"/>
    <w:rsid w:val="00163C7C"/>
    <w:rsid w:val="00163E1E"/>
    <w:rsid w:val="00164A5B"/>
    <w:rsid w:val="00171D57"/>
    <w:rsid w:val="00172A27"/>
    <w:rsid w:val="001764A0"/>
    <w:rsid w:val="001778A6"/>
    <w:rsid w:val="00180637"/>
    <w:rsid w:val="00183AFA"/>
    <w:rsid w:val="00184A6A"/>
    <w:rsid w:val="0019205D"/>
    <w:rsid w:val="00195DD0"/>
    <w:rsid w:val="00196E2C"/>
    <w:rsid w:val="001974F3"/>
    <w:rsid w:val="0019764A"/>
    <w:rsid w:val="001A082D"/>
    <w:rsid w:val="001A50A6"/>
    <w:rsid w:val="001A6070"/>
    <w:rsid w:val="001A618B"/>
    <w:rsid w:val="001B45D6"/>
    <w:rsid w:val="001B72D3"/>
    <w:rsid w:val="001C2927"/>
    <w:rsid w:val="001C3C0B"/>
    <w:rsid w:val="001C4D5F"/>
    <w:rsid w:val="001C635F"/>
    <w:rsid w:val="001C6704"/>
    <w:rsid w:val="001D011E"/>
    <w:rsid w:val="001D2259"/>
    <w:rsid w:val="001E3868"/>
    <w:rsid w:val="001F2833"/>
    <w:rsid w:val="001F40D5"/>
    <w:rsid w:val="001F6F4D"/>
    <w:rsid w:val="001F7306"/>
    <w:rsid w:val="002002C8"/>
    <w:rsid w:val="002032DE"/>
    <w:rsid w:val="00203ADE"/>
    <w:rsid w:val="00204822"/>
    <w:rsid w:val="00206B56"/>
    <w:rsid w:val="00211D9C"/>
    <w:rsid w:val="00216325"/>
    <w:rsid w:val="0021773C"/>
    <w:rsid w:val="00220A84"/>
    <w:rsid w:val="0022161D"/>
    <w:rsid w:val="00222538"/>
    <w:rsid w:val="002252CD"/>
    <w:rsid w:val="002258F8"/>
    <w:rsid w:val="00226EA8"/>
    <w:rsid w:val="002305C7"/>
    <w:rsid w:val="00231FED"/>
    <w:rsid w:val="00234944"/>
    <w:rsid w:val="0023592E"/>
    <w:rsid w:val="00236E17"/>
    <w:rsid w:val="00240825"/>
    <w:rsid w:val="00242FB2"/>
    <w:rsid w:val="002436B6"/>
    <w:rsid w:val="00245DC3"/>
    <w:rsid w:val="00246678"/>
    <w:rsid w:val="00250CFE"/>
    <w:rsid w:val="002526F3"/>
    <w:rsid w:val="00256713"/>
    <w:rsid w:val="00260D55"/>
    <w:rsid w:val="00263BB4"/>
    <w:rsid w:val="0026404D"/>
    <w:rsid w:val="00265BC8"/>
    <w:rsid w:val="002700EA"/>
    <w:rsid w:val="002702C0"/>
    <w:rsid w:val="00273947"/>
    <w:rsid w:val="00281F9A"/>
    <w:rsid w:val="002820D7"/>
    <w:rsid w:val="00283572"/>
    <w:rsid w:val="00290981"/>
    <w:rsid w:val="002922AA"/>
    <w:rsid w:val="00294B55"/>
    <w:rsid w:val="0029701C"/>
    <w:rsid w:val="002A0B86"/>
    <w:rsid w:val="002A3334"/>
    <w:rsid w:val="002A3E7B"/>
    <w:rsid w:val="002A3F6E"/>
    <w:rsid w:val="002B0522"/>
    <w:rsid w:val="002B6BE1"/>
    <w:rsid w:val="002B6E68"/>
    <w:rsid w:val="002B7736"/>
    <w:rsid w:val="002C0609"/>
    <w:rsid w:val="002C2645"/>
    <w:rsid w:val="002C45B3"/>
    <w:rsid w:val="002E2E0C"/>
    <w:rsid w:val="002E4304"/>
    <w:rsid w:val="002E4EFF"/>
    <w:rsid w:val="002E5518"/>
    <w:rsid w:val="002F0C46"/>
    <w:rsid w:val="002F1168"/>
    <w:rsid w:val="002F30EA"/>
    <w:rsid w:val="00301398"/>
    <w:rsid w:val="003027E4"/>
    <w:rsid w:val="00304695"/>
    <w:rsid w:val="00305346"/>
    <w:rsid w:val="00305D5D"/>
    <w:rsid w:val="0031113B"/>
    <w:rsid w:val="00311983"/>
    <w:rsid w:val="00312C47"/>
    <w:rsid w:val="00316189"/>
    <w:rsid w:val="00317301"/>
    <w:rsid w:val="00317735"/>
    <w:rsid w:val="00317FF4"/>
    <w:rsid w:val="00320934"/>
    <w:rsid w:val="003228B5"/>
    <w:rsid w:val="00327F40"/>
    <w:rsid w:val="00333C0B"/>
    <w:rsid w:val="0033479E"/>
    <w:rsid w:val="00335BBD"/>
    <w:rsid w:val="00337729"/>
    <w:rsid w:val="0034424B"/>
    <w:rsid w:val="00344BB7"/>
    <w:rsid w:val="00353C98"/>
    <w:rsid w:val="00363DD5"/>
    <w:rsid w:val="003644DA"/>
    <w:rsid w:val="00365981"/>
    <w:rsid w:val="003666C7"/>
    <w:rsid w:val="00367347"/>
    <w:rsid w:val="00373107"/>
    <w:rsid w:val="0037469C"/>
    <w:rsid w:val="003747A6"/>
    <w:rsid w:val="003769AB"/>
    <w:rsid w:val="00377D1D"/>
    <w:rsid w:val="00382F89"/>
    <w:rsid w:val="003903F9"/>
    <w:rsid w:val="0039392C"/>
    <w:rsid w:val="003A3510"/>
    <w:rsid w:val="003A5A9C"/>
    <w:rsid w:val="003B4F5A"/>
    <w:rsid w:val="003C0091"/>
    <w:rsid w:val="003C0F3A"/>
    <w:rsid w:val="003C465F"/>
    <w:rsid w:val="003C7F67"/>
    <w:rsid w:val="003D0ED0"/>
    <w:rsid w:val="003D3649"/>
    <w:rsid w:val="003D7583"/>
    <w:rsid w:val="003E1B17"/>
    <w:rsid w:val="003E2C94"/>
    <w:rsid w:val="003E61FE"/>
    <w:rsid w:val="003E6831"/>
    <w:rsid w:val="003F1886"/>
    <w:rsid w:val="003F2DCF"/>
    <w:rsid w:val="003F3260"/>
    <w:rsid w:val="003F5730"/>
    <w:rsid w:val="003F74EF"/>
    <w:rsid w:val="003F7691"/>
    <w:rsid w:val="004004F0"/>
    <w:rsid w:val="004033C9"/>
    <w:rsid w:val="00411A84"/>
    <w:rsid w:val="00413D57"/>
    <w:rsid w:val="00414E44"/>
    <w:rsid w:val="004169D6"/>
    <w:rsid w:val="00417954"/>
    <w:rsid w:val="00420048"/>
    <w:rsid w:val="00423096"/>
    <w:rsid w:val="0042522E"/>
    <w:rsid w:val="004278E7"/>
    <w:rsid w:val="00430826"/>
    <w:rsid w:val="00433D8F"/>
    <w:rsid w:val="00436277"/>
    <w:rsid w:val="00437728"/>
    <w:rsid w:val="00441ACB"/>
    <w:rsid w:val="00441E7E"/>
    <w:rsid w:val="00442137"/>
    <w:rsid w:val="00442EE6"/>
    <w:rsid w:val="00444810"/>
    <w:rsid w:val="00444D5A"/>
    <w:rsid w:val="00445B52"/>
    <w:rsid w:val="004540E9"/>
    <w:rsid w:val="004542F7"/>
    <w:rsid w:val="00454FD6"/>
    <w:rsid w:val="004573F3"/>
    <w:rsid w:val="00461782"/>
    <w:rsid w:val="00463F1D"/>
    <w:rsid w:val="004649FE"/>
    <w:rsid w:val="00475D10"/>
    <w:rsid w:val="004775CC"/>
    <w:rsid w:val="004912CE"/>
    <w:rsid w:val="00492AA2"/>
    <w:rsid w:val="00492B95"/>
    <w:rsid w:val="004944D8"/>
    <w:rsid w:val="004951FD"/>
    <w:rsid w:val="004A0A83"/>
    <w:rsid w:val="004B0F7E"/>
    <w:rsid w:val="004B1534"/>
    <w:rsid w:val="004B3F66"/>
    <w:rsid w:val="004B7B3F"/>
    <w:rsid w:val="004C163E"/>
    <w:rsid w:val="004C5468"/>
    <w:rsid w:val="004C6AB9"/>
    <w:rsid w:val="004D0561"/>
    <w:rsid w:val="004D3C5C"/>
    <w:rsid w:val="004D520B"/>
    <w:rsid w:val="004D5777"/>
    <w:rsid w:val="004E0391"/>
    <w:rsid w:val="004E09AE"/>
    <w:rsid w:val="004F5E69"/>
    <w:rsid w:val="00506181"/>
    <w:rsid w:val="0050741D"/>
    <w:rsid w:val="005111AA"/>
    <w:rsid w:val="00512CA6"/>
    <w:rsid w:val="00517A0E"/>
    <w:rsid w:val="005207ED"/>
    <w:rsid w:val="00521114"/>
    <w:rsid w:val="00522203"/>
    <w:rsid w:val="005258B1"/>
    <w:rsid w:val="005279D8"/>
    <w:rsid w:val="00531ADF"/>
    <w:rsid w:val="00532F09"/>
    <w:rsid w:val="00534573"/>
    <w:rsid w:val="005358A1"/>
    <w:rsid w:val="005367DE"/>
    <w:rsid w:val="005447B4"/>
    <w:rsid w:val="0054663C"/>
    <w:rsid w:val="0055257B"/>
    <w:rsid w:val="00552B15"/>
    <w:rsid w:val="00553285"/>
    <w:rsid w:val="0055409A"/>
    <w:rsid w:val="00554299"/>
    <w:rsid w:val="00554849"/>
    <w:rsid w:val="00554B72"/>
    <w:rsid w:val="00557154"/>
    <w:rsid w:val="00557BAE"/>
    <w:rsid w:val="00560570"/>
    <w:rsid w:val="00560E17"/>
    <w:rsid w:val="00560F71"/>
    <w:rsid w:val="00562BF1"/>
    <w:rsid w:val="00564025"/>
    <w:rsid w:val="00576797"/>
    <w:rsid w:val="005856F3"/>
    <w:rsid w:val="00592487"/>
    <w:rsid w:val="005926A4"/>
    <w:rsid w:val="00595702"/>
    <w:rsid w:val="00597981"/>
    <w:rsid w:val="005A12F5"/>
    <w:rsid w:val="005A311E"/>
    <w:rsid w:val="005A5EEF"/>
    <w:rsid w:val="005A73F7"/>
    <w:rsid w:val="005B0D71"/>
    <w:rsid w:val="005B2025"/>
    <w:rsid w:val="005B2531"/>
    <w:rsid w:val="005B40ED"/>
    <w:rsid w:val="005B5D5D"/>
    <w:rsid w:val="005B6641"/>
    <w:rsid w:val="005C22E9"/>
    <w:rsid w:val="005C332E"/>
    <w:rsid w:val="005C61FE"/>
    <w:rsid w:val="005D237B"/>
    <w:rsid w:val="005D583E"/>
    <w:rsid w:val="005E0F14"/>
    <w:rsid w:val="005E47F4"/>
    <w:rsid w:val="005E5431"/>
    <w:rsid w:val="005E66AB"/>
    <w:rsid w:val="005F5D48"/>
    <w:rsid w:val="00600C6C"/>
    <w:rsid w:val="006014C7"/>
    <w:rsid w:val="00603B8A"/>
    <w:rsid w:val="00605EE2"/>
    <w:rsid w:val="00611B8B"/>
    <w:rsid w:val="0061483C"/>
    <w:rsid w:val="006148C2"/>
    <w:rsid w:val="00615769"/>
    <w:rsid w:val="006169BE"/>
    <w:rsid w:val="006238F4"/>
    <w:rsid w:val="00625DFE"/>
    <w:rsid w:val="00626122"/>
    <w:rsid w:val="00632941"/>
    <w:rsid w:val="00634A57"/>
    <w:rsid w:val="006360EC"/>
    <w:rsid w:val="00636FB4"/>
    <w:rsid w:val="006378FA"/>
    <w:rsid w:val="006433EA"/>
    <w:rsid w:val="006464EC"/>
    <w:rsid w:val="00647A2C"/>
    <w:rsid w:val="00647E0A"/>
    <w:rsid w:val="006552DA"/>
    <w:rsid w:val="00662226"/>
    <w:rsid w:val="0066296A"/>
    <w:rsid w:val="00665FE5"/>
    <w:rsid w:val="00667367"/>
    <w:rsid w:val="00676199"/>
    <w:rsid w:val="00676DBF"/>
    <w:rsid w:val="006845A5"/>
    <w:rsid w:val="00684A6E"/>
    <w:rsid w:val="006850F3"/>
    <w:rsid w:val="00687025"/>
    <w:rsid w:val="00693A77"/>
    <w:rsid w:val="006978DC"/>
    <w:rsid w:val="006A09CA"/>
    <w:rsid w:val="006A388E"/>
    <w:rsid w:val="006A7EEE"/>
    <w:rsid w:val="006B1226"/>
    <w:rsid w:val="006B4C67"/>
    <w:rsid w:val="006C33EF"/>
    <w:rsid w:val="006C526A"/>
    <w:rsid w:val="006C59D8"/>
    <w:rsid w:val="006C7A76"/>
    <w:rsid w:val="006D3FE1"/>
    <w:rsid w:val="006D5486"/>
    <w:rsid w:val="006D6E9F"/>
    <w:rsid w:val="006E00A3"/>
    <w:rsid w:val="006E1E60"/>
    <w:rsid w:val="006E3C6A"/>
    <w:rsid w:val="006E400F"/>
    <w:rsid w:val="006E6F37"/>
    <w:rsid w:val="006F51E8"/>
    <w:rsid w:val="006F542D"/>
    <w:rsid w:val="006F551A"/>
    <w:rsid w:val="006F6C56"/>
    <w:rsid w:val="00710C36"/>
    <w:rsid w:val="00711632"/>
    <w:rsid w:val="00711A41"/>
    <w:rsid w:val="0071782B"/>
    <w:rsid w:val="007178B0"/>
    <w:rsid w:val="007200DF"/>
    <w:rsid w:val="00724BA1"/>
    <w:rsid w:val="00726AEF"/>
    <w:rsid w:val="007279BE"/>
    <w:rsid w:val="00732812"/>
    <w:rsid w:val="00732B3A"/>
    <w:rsid w:val="00736D28"/>
    <w:rsid w:val="00737DCD"/>
    <w:rsid w:val="00742EE5"/>
    <w:rsid w:val="00745301"/>
    <w:rsid w:val="007465AA"/>
    <w:rsid w:val="007475BB"/>
    <w:rsid w:val="00754374"/>
    <w:rsid w:val="007558C6"/>
    <w:rsid w:val="00755FF8"/>
    <w:rsid w:val="007642A4"/>
    <w:rsid w:val="00764934"/>
    <w:rsid w:val="007712FB"/>
    <w:rsid w:val="00774400"/>
    <w:rsid w:val="00775573"/>
    <w:rsid w:val="007757DD"/>
    <w:rsid w:val="00781667"/>
    <w:rsid w:val="0078270C"/>
    <w:rsid w:val="00790AF8"/>
    <w:rsid w:val="0079284F"/>
    <w:rsid w:val="007A20C5"/>
    <w:rsid w:val="007A2282"/>
    <w:rsid w:val="007A4592"/>
    <w:rsid w:val="007A6CC3"/>
    <w:rsid w:val="007B0789"/>
    <w:rsid w:val="007B27F5"/>
    <w:rsid w:val="007B2EC3"/>
    <w:rsid w:val="007B4887"/>
    <w:rsid w:val="007C1922"/>
    <w:rsid w:val="007C3091"/>
    <w:rsid w:val="007C5DC8"/>
    <w:rsid w:val="007D47A0"/>
    <w:rsid w:val="007E03A0"/>
    <w:rsid w:val="007E137A"/>
    <w:rsid w:val="007E1922"/>
    <w:rsid w:val="007E26AF"/>
    <w:rsid w:val="007E4AA8"/>
    <w:rsid w:val="007F3594"/>
    <w:rsid w:val="007F36CB"/>
    <w:rsid w:val="007F52BE"/>
    <w:rsid w:val="007F6679"/>
    <w:rsid w:val="007F6BD6"/>
    <w:rsid w:val="007F7960"/>
    <w:rsid w:val="007F7C1D"/>
    <w:rsid w:val="008040CD"/>
    <w:rsid w:val="0081077F"/>
    <w:rsid w:val="00811994"/>
    <w:rsid w:val="00813B04"/>
    <w:rsid w:val="00814B48"/>
    <w:rsid w:val="00816C93"/>
    <w:rsid w:val="00820C6A"/>
    <w:rsid w:val="00822D37"/>
    <w:rsid w:val="00831699"/>
    <w:rsid w:val="0084035A"/>
    <w:rsid w:val="0084186F"/>
    <w:rsid w:val="00841C34"/>
    <w:rsid w:val="0084641A"/>
    <w:rsid w:val="00850AEA"/>
    <w:rsid w:val="00852758"/>
    <w:rsid w:val="0085676A"/>
    <w:rsid w:val="00860784"/>
    <w:rsid w:val="00860EA8"/>
    <w:rsid w:val="008623B7"/>
    <w:rsid w:val="00865137"/>
    <w:rsid w:val="00870F17"/>
    <w:rsid w:val="00871559"/>
    <w:rsid w:val="0087398F"/>
    <w:rsid w:val="00874FC5"/>
    <w:rsid w:val="00876592"/>
    <w:rsid w:val="00876F38"/>
    <w:rsid w:val="008804F2"/>
    <w:rsid w:val="00880763"/>
    <w:rsid w:val="00883834"/>
    <w:rsid w:val="008849A8"/>
    <w:rsid w:val="00885EF7"/>
    <w:rsid w:val="008879D9"/>
    <w:rsid w:val="0089265C"/>
    <w:rsid w:val="008A568B"/>
    <w:rsid w:val="008B07EB"/>
    <w:rsid w:val="008B2885"/>
    <w:rsid w:val="008C4BF8"/>
    <w:rsid w:val="008D1074"/>
    <w:rsid w:val="008D33D6"/>
    <w:rsid w:val="008D4C2C"/>
    <w:rsid w:val="008D5992"/>
    <w:rsid w:val="008D73EF"/>
    <w:rsid w:val="008E4841"/>
    <w:rsid w:val="008E639E"/>
    <w:rsid w:val="008E7F49"/>
    <w:rsid w:val="008F0FD4"/>
    <w:rsid w:val="008F5176"/>
    <w:rsid w:val="008F637A"/>
    <w:rsid w:val="008F744A"/>
    <w:rsid w:val="00900E92"/>
    <w:rsid w:val="009028F5"/>
    <w:rsid w:val="00902B7C"/>
    <w:rsid w:val="009048E0"/>
    <w:rsid w:val="00904D46"/>
    <w:rsid w:val="00906D24"/>
    <w:rsid w:val="00906D3C"/>
    <w:rsid w:val="009104D5"/>
    <w:rsid w:val="00910B38"/>
    <w:rsid w:val="00917B70"/>
    <w:rsid w:val="00917F63"/>
    <w:rsid w:val="009205A8"/>
    <w:rsid w:val="009217D4"/>
    <w:rsid w:val="00921C07"/>
    <w:rsid w:val="00922194"/>
    <w:rsid w:val="0092613E"/>
    <w:rsid w:val="009301A1"/>
    <w:rsid w:val="009302EA"/>
    <w:rsid w:val="00931653"/>
    <w:rsid w:val="009319C5"/>
    <w:rsid w:val="00933D8A"/>
    <w:rsid w:val="009362CE"/>
    <w:rsid w:val="009409B5"/>
    <w:rsid w:val="0094467C"/>
    <w:rsid w:val="009466BE"/>
    <w:rsid w:val="0095014A"/>
    <w:rsid w:val="00952900"/>
    <w:rsid w:val="009548AF"/>
    <w:rsid w:val="00956101"/>
    <w:rsid w:val="0095777E"/>
    <w:rsid w:val="00961939"/>
    <w:rsid w:val="00962F9D"/>
    <w:rsid w:val="00965932"/>
    <w:rsid w:val="009674D1"/>
    <w:rsid w:val="00967FF0"/>
    <w:rsid w:val="00970925"/>
    <w:rsid w:val="0097118F"/>
    <w:rsid w:val="0097130C"/>
    <w:rsid w:val="0097167F"/>
    <w:rsid w:val="00980759"/>
    <w:rsid w:val="00983EA0"/>
    <w:rsid w:val="00983FE1"/>
    <w:rsid w:val="00994AC1"/>
    <w:rsid w:val="009A039D"/>
    <w:rsid w:val="009A18DF"/>
    <w:rsid w:val="009A461C"/>
    <w:rsid w:val="009A795B"/>
    <w:rsid w:val="009B5E34"/>
    <w:rsid w:val="009B6182"/>
    <w:rsid w:val="009C0DD7"/>
    <w:rsid w:val="009C37E3"/>
    <w:rsid w:val="009C4C8E"/>
    <w:rsid w:val="009C6528"/>
    <w:rsid w:val="009D0AE2"/>
    <w:rsid w:val="009D1E65"/>
    <w:rsid w:val="009D46F1"/>
    <w:rsid w:val="009D4B96"/>
    <w:rsid w:val="009D4EEB"/>
    <w:rsid w:val="009D511A"/>
    <w:rsid w:val="009D78E3"/>
    <w:rsid w:val="009D7EB2"/>
    <w:rsid w:val="009E01A7"/>
    <w:rsid w:val="009E0C42"/>
    <w:rsid w:val="009E3750"/>
    <w:rsid w:val="009E5B01"/>
    <w:rsid w:val="009F026E"/>
    <w:rsid w:val="009F057E"/>
    <w:rsid w:val="009F1FE4"/>
    <w:rsid w:val="00A024FE"/>
    <w:rsid w:val="00A05B07"/>
    <w:rsid w:val="00A05CBC"/>
    <w:rsid w:val="00A11D3A"/>
    <w:rsid w:val="00A134B1"/>
    <w:rsid w:val="00A13B12"/>
    <w:rsid w:val="00A13CC6"/>
    <w:rsid w:val="00A157B1"/>
    <w:rsid w:val="00A16FBD"/>
    <w:rsid w:val="00A17E28"/>
    <w:rsid w:val="00A20346"/>
    <w:rsid w:val="00A240BB"/>
    <w:rsid w:val="00A31E94"/>
    <w:rsid w:val="00A4354C"/>
    <w:rsid w:val="00A44748"/>
    <w:rsid w:val="00A45F2C"/>
    <w:rsid w:val="00A47FA3"/>
    <w:rsid w:val="00A52F7B"/>
    <w:rsid w:val="00A55094"/>
    <w:rsid w:val="00A553A7"/>
    <w:rsid w:val="00A56737"/>
    <w:rsid w:val="00A63C9E"/>
    <w:rsid w:val="00A73697"/>
    <w:rsid w:val="00A74025"/>
    <w:rsid w:val="00A7541C"/>
    <w:rsid w:val="00A847C0"/>
    <w:rsid w:val="00A919AC"/>
    <w:rsid w:val="00A938B4"/>
    <w:rsid w:val="00A97407"/>
    <w:rsid w:val="00AA0717"/>
    <w:rsid w:val="00AA1175"/>
    <w:rsid w:val="00AA3654"/>
    <w:rsid w:val="00AA5933"/>
    <w:rsid w:val="00AA71C7"/>
    <w:rsid w:val="00AA7CF4"/>
    <w:rsid w:val="00AB2364"/>
    <w:rsid w:val="00AB46E3"/>
    <w:rsid w:val="00AB7D57"/>
    <w:rsid w:val="00AD02B6"/>
    <w:rsid w:val="00AD1CC7"/>
    <w:rsid w:val="00AD2E51"/>
    <w:rsid w:val="00AD4F9D"/>
    <w:rsid w:val="00AD739F"/>
    <w:rsid w:val="00AE30C3"/>
    <w:rsid w:val="00AE3A20"/>
    <w:rsid w:val="00AE40F1"/>
    <w:rsid w:val="00AF128F"/>
    <w:rsid w:val="00AF78EC"/>
    <w:rsid w:val="00B016CB"/>
    <w:rsid w:val="00B03510"/>
    <w:rsid w:val="00B03590"/>
    <w:rsid w:val="00B05C27"/>
    <w:rsid w:val="00B1003E"/>
    <w:rsid w:val="00B14042"/>
    <w:rsid w:val="00B15E1A"/>
    <w:rsid w:val="00B2299E"/>
    <w:rsid w:val="00B275BD"/>
    <w:rsid w:val="00B30321"/>
    <w:rsid w:val="00B34A6D"/>
    <w:rsid w:val="00B36318"/>
    <w:rsid w:val="00B4290A"/>
    <w:rsid w:val="00B44D99"/>
    <w:rsid w:val="00B46B57"/>
    <w:rsid w:val="00B46DFB"/>
    <w:rsid w:val="00B60922"/>
    <w:rsid w:val="00B62892"/>
    <w:rsid w:val="00B64B8B"/>
    <w:rsid w:val="00B71EE5"/>
    <w:rsid w:val="00B745ED"/>
    <w:rsid w:val="00B80DCA"/>
    <w:rsid w:val="00B821FA"/>
    <w:rsid w:val="00B84596"/>
    <w:rsid w:val="00B85235"/>
    <w:rsid w:val="00B855C5"/>
    <w:rsid w:val="00B8601F"/>
    <w:rsid w:val="00B86B31"/>
    <w:rsid w:val="00B86BEE"/>
    <w:rsid w:val="00B927E4"/>
    <w:rsid w:val="00B92D15"/>
    <w:rsid w:val="00B96E3E"/>
    <w:rsid w:val="00BA0939"/>
    <w:rsid w:val="00BA2106"/>
    <w:rsid w:val="00BB0641"/>
    <w:rsid w:val="00BB06D8"/>
    <w:rsid w:val="00BB3EF0"/>
    <w:rsid w:val="00BB4487"/>
    <w:rsid w:val="00BC29AA"/>
    <w:rsid w:val="00BC7CCD"/>
    <w:rsid w:val="00BD3FB9"/>
    <w:rsid w:val="00BE0EB4"/>
    <w:rsid w:val="00BF078E"/>
    <w:rsid w:val="00BF1C34"/>
    <w:rsid w:val="00BF3DCE"/>
    <w:rsid w:val="00BF70C7"/>
    <w:rsid w:val="00C02C03"/>
    <w:rsid w:val="00C05CED"/>
    <w:rsid w:val="00C1081B"/>
    <w:rsid w:val="00C10E42"/>
    <w:rsid w:val="00C11CFE"/>
    <w:rsid w:val="00C126F7"/>
    <w:rsid w:val="00C12C1D"/>
    <w:rsid w:val="00C13381"/>
    <w:rsid w:val="00C14848"/>
    <w:rsid w:val="00C2674B"/>
    <w:rsid w:val="00C32864"/>
    <w:rsid w:val="00C35C92"/>
    <w:rsid w:val="00C4425C"/>
    <w:rsid w:val="00C46D44"/>
    <w:rsid w:val="00C47CE1"/>
    <w:rsid w:val="00C50E56"/>
    <w:rsid w:val="00C52233"/>
    <w:rsid w:val="00C56DB9"/>
    <w:rsid w:val="00C610FD"/>
    <w:rsid w:val="00C614F6"/>
    <w:rsid w:val="00C62313"/>
    <w:rsid w:val="00C636DC"/>
    <w:rsid w:val="00C65FF2"/>
    <w:rsid w:val="00C76F46"/>
    <w:rsid w:val="00C811A8"/>
    <w:rsid w:val="00C90F43"/>
    <w:rsid w:val="00C9126B"/>
    <w:rsid w:val="00C919C9"/>
    <w:rsid w:val="00C95EC1"/>
    <w:rsid w:val="00C95FEB"/>
    <w:rsid w:val="00CA1A9B"/>
    <w:rsid w:val="00CA2061"/>
    <w:rsid w:val="00CA4D6D"/>
    <w:rsid w:val="00CA5D55"/>
    <w:rsid w:val="00CB44ED"/>
    <w:rsid w:val="00CB51F6"/>
    <w:rsid w:val="00CC342C"/>
    <w:rsid w:val="00CC5746"/>
    <w:rsid w:val="00CC57A5"/>
    <w:rsid w:val="00CD0702"/>
    <w:rsid w:val="00CD247C"/>
    <w:rsid w:val="00CE1427"/>
    <w:rsid w:val="00CE219B"/>
    <w:rsid w:val="00CE6B0A"/>
    <w:rsid w:val="00CE7D93"/>
    <w:rsid w:val="00CF061A"/>
    <w:rsid w:val="00CF0C38"/>
    <w:rsid w:val="00CF57A6"/>
    <w:rsid w:val="00CF7E27"/>
    <w:rsid w:val="00D00577"/>
    <w:rsid w:val="00D00F5F"/>
    <w:rsid w:val="00D04531"/>
    <w:rsid w:val="00D05EC5"/>
    <w:rsid w:val="00D074F9"/>
    <w:rsid w:val="00D15E28"/>
    <w:rsid w:val="00D17C87"/>
    <w:rsid w:val="00D2435C"/>
    <w:rsid w:val="00D25E12"/>
    <w:rsid w:val="00D30266"/>
    <w:rsid w:val="00D303F6"/>
    <w:rsid w:val="00D3370E"/>
    <w:rsid w:val="00D338F0"/>
    <w:rsid w:val="00D374ED"/>
    <w:rsid w:val="00D4521A"/>
    <w:rsid w:val="00D45428"/>
    <w:rsid w:val="00D455A5"/>
    <w:rsid w:val="00D517FE"/>
    <w:rsid w:val="00D521D0"/>
    <w:rsid w:val="00D5281D"/>
    <w:rsid w:val="00D56B5A"/>
    <w:rsid w:val="00D63018"/>
    <w:rsid w:val="00D64D2B"/>
    <w:rsid w:val="00D66BB3"/>
    <w:rsid w:val="00D7116F"/>
    <w:rsid w:val="00D714FE"/>
    <w:rsid w:val="00D71912"/>
    <w:rsid w:val="00D72691"/>
    <w:rsid w:val="00D729F1"/>
    <w:rsid w:val="00D75C15"/>
    <w:rsid w:val="00D76CE8"/>
    <w:rsid w:val="00D76FAC"/>
    <w:rsid w:val="00D77663"/>
    <w:rsid w:val="00D80E97"/>
    <w:rsid w:val="00D8103C"/>
    <w:rsid w:val="00D82E00"/>
    <w:rsid w:val="00D93FAF"/>
    <w:rsid w:val="00D94F7C"/>
    <w:rsid w:val="00D96302"/>
    <w:rsid w:val="00DA14CC"/>
    <w:rsid w:val="00DA5F36"/>
    <w:rsid w:val="00DB3CFF"/>
    <w:rsid w:val="00DB448B"/>
    <w:rsid w:val="00DB7DAB"/>
    <w:rsid w:val="00DD26D7"/>
    <w:rsid w:val="00DD2A18"/>
    <w:rsid w:val="00DE2656"/>
    <w:rsid w:val="00DE26A3"/>
    <w:rsid w:val="00DE489A"/>
    <w:rsid w:val="00DE6866"/>
    <w:rsid w:val="00DE795B"/>
    <w:rsid w:val="00DF0AFD"/>
    <w:rsid w:val="00DF25BF"/>
    <w:rsid w:val="00DF4B27"/>
    <w:rsid w:val="00E02AB7"/>
    <w:rsid w:val="00E066B6"/>
    <w:rsid w:val="00E06948"/>
    <w:rsid w:val="00E15E91"/>
    <w:rsid w:val="00E16D72"/>
    <w:rsid w:val="00E17B66"/>
    <w:rsid w:val="00E17DAF"/>
    <w:rsid w:val="00E229D6"/>
    <w:rsid w:val="00E2713F"/>
    <w:rsid w:val="00E27179"/>
    <w:rsid w:val="00E326B1"/>
    <w:rsid w:val="00E36830"/>
    <w:rsid w:val="00E37FE9"/>
    <w:rsid w:val="00E408AE"/>
    <w:rsid w:val="00E45247"/>
    <w:rsid w:val="00E472DD"/>
    <w:rsid w:val="00E53D2F"/>
    <w:rsid w:val="00E547DE"/>
    <w:rsid w:val="00E54839"/>
    <w:rsid w:val="00E5609E"/>
    <w:rsid w:val="00E60B4C"/>
    <w:rsid w:val="00E66389"/>
    <w:rsid w:val="00E664C1"/>
    <w:rsid w:val="00E67DD8"/>
    <w:rsid w:val="00E77151"/>
    <w:rsid w:val="00E81D82"/>
    <w:rsid w:val="00E82F29"/>
    <w:rsid w:val="00E85C65"/>
    <w:rsid w:val="00E879A2"/>
    <w:rsid w:val="00E91965"/>
    <w:rsid w:val="00E92F9E"/>
    <w:rsid w:val="00E9522F"/>
    <w:rsid w:val="00E96D2B"/>
    <w:rsid w:val="00EA0190"/>
    <w:rsid w:val="00EA1833"/>
    <w:rsid w:val="00EA3A39"/>
    <w:rsid w:val="00EA3AA8"/>
    <w:rsid w:val="00EB1519"/>
    <w:rsid w:val="00EB27F6"/>
    <w:rsid w:val="00EB6CF8"/>
    <w:rsid w:val="00EB6F61"/>
    <w:rsid w:val="00EB7052"/>
    <w:rsid w:val="00EB79BC"/>
    <w:rsid w:val="00EC05AE"/>
    <w:rsid w:val="00EC28D1"/>
    <w:rsid w:val="00EC32DF"/>
    <w:rsid w:val="00EC3E1A"/>
    <w:rsid w:val="00EC6811"/>
    <w:rsid w:val="00EC6974"/>
    <w:rsid w:val="00EC6DC2"/>
    <w:rsid w:val="00ED2247"/>
    <w:rsid w:val="00ED3FED"/>
    <w:rsid w:val="00ED5680"/>
    <w:rsid w:val="00ED5F93"/>
    <w:rsid w:val="00ED795D"/>
    <w:rsid w:val="00EE1253"/>
    <w:rsid w:val="00EE55AB"/>
    <w:rsid w:val="00EE5FA2"/>
    <w:rsid w:val="00EF22FF"/>
    <w:rsid w:val="00EF280D"/>
    <w:rsid w:val="00EF415F"/>
    <w:rsid w:val="00EF6D0D"/>
    <w:rsid w:val="00EF78C8"/>
    <w:rsid w:val="00F004D3"/>
    <w:rsid w:val="00F048EF"/>
    <w:rsid w:val="00F05EF5"/>
    <w:rsid w:val="00F06C05"/>
    <w:rsid w:val="00F06D6D"/>
    <w:rsid w:val="00F07018"/>
    <w:rsid w:val="00F12B60"/>
    <w:rsid w:val="00F14175"/>
    <w:rsid w:val="00F141E7"/>
    <w:rsid w:val="00F17C9A"/>
    <w:rsid w:val="00F2502E"/>
    <w:rsid w:val="00F25B6B"/>
    <w:rsid w:val="00F26E5B"/>
    <w:rsid w:val="00F274E1"/>
    <w:rsid w:val="00F34D7F"/>
    <w:rsid w:val="00F361C3"/>
    <w:rsid w:val="00F3761D"/>
    <w:rsid w:val="00F40750"/>
    <w:rsid w:val="00F40FD3"/>
    <w:rsid w:val="00F4306D"/>
    <w:rsid w:val="00F44AF9"/>
    <w:rsid w:val="00F45FE7"/>
    <w:rsid w:val="00F468F3"/>
    <w:rsid w:val="00F47716"/>
    <w:rsid w:val="00F5180E"/>
    <w:rsid w:val="00F54541"/>
    <w:rsid w:val="00F55BDA"/>
    <w:rsid w:val="00F56F50"/>
    <w:rsid w:val="00F655DF"/>
    <w:rsid w:val="00F70DDA"/>
    <w:rsid w:val="00F716B2"/>
    <w:rsid w:val="00F71963"/>
    <w:rsid w:val="00F73868"/>
    <w:rsid w:val="00F73EB2"/>
    <w:rsid w:val="00F82A4A"/>
    <w:rsid w:val="00F83519"/>
    <w:rsid w:val="00F917A2"/>
    <w:rsid w:val="00F94320"/>
    <w:rsid w:val="00FA6073"/>
    <w:rsid w:val="00FA64A0"/>
    <w:rsid w:val="00FB4C56"/>
    <w:rsid w:val="00FC01D5"/>
    <w:rsid w:val="00FC32EA"/>
    <w:rsid w:val="00FC4A4D"/>
    <w:rsid w:val="00FC50A2"/>
    <w:rsid w:val="00FC580F"/>
    <w:rsid w:val="00FD0699"/>
    <w:rsid w:val="00FD26F3"/>
    <w:rsid w:val="00FD5958"/>
    <w:rsid w:val="00FE045A"/>
    <w:rsid w:val="00FE1C38"/>
    <w:rsid w:val="00FF2F7A"/>
    <w:rsid w:val="00FF33DB"/>
    <w:rsid w:val="00FF5BE1"/>
    <w:rsid w:val="00FF75A4"/>
    <w:rsid w:val="00FF7F29"/>
    <w:rsid w:val="02AA334F"/>
    <w:rsid w:val="036234BE"/>
    <w:rsid w:val="08156DD4"/>
    <w:rsid w:val="0A8E2CA5"/>
    <w:rsid w:val="0AC044CF"/>
    <w:rsid w:val="0AF927CE"/>
    <w:rsid w:val="0FC32327"/>
    <w:rsid w:val="15AE1907"/>
    <w:rsid w:val="167D385F"/>
    <w:rsid w:val="168C1E7A"/>
    <w:rsid w:val="1A25379F"/>
    <w:rsid w:val="222E6B55"/>
    <w:rsid w:val="25753C8C"/>
    <w:rsid w:val="274813E4"/>
    <w:rsid w:val="27645264"/>
    <w:rsid w:val="297968E2"/>
    <w:rsid w:val="30345091"/>
    <w:rsid w:val="3F364F8E"/>
    <w:rsid w:val="41C24181"/>
    <w:rsid w:val="443E1F4E"/>
    <w:rsid w:val="457643E5"/>
    <w:rsid w:val="49447572"/>
    <w:rsid w:val="49FA72F6"/>
    <w:rsid w:val="4F6F01E1"/>
    <w:rsid w:val="53724AD4"/>
    <w:rsid w:val="56ED7474"/>
    <w:rsid w:val="5ABA52E6"/>
    <w:rsid w:val="5C221066"/>
    <w:rsid w:val="5D6D4EE5"/>
    <w:rsid w:val="5E907888"/>
    <w:rsid w:val="60CE1B98"/>
    <w:rsid w:val="60DC18CB"/>
    <w:rsid w:val="629F72F7"/>
    <w:rsid w:val="62CF2034"/>
    <w:rsid w:val="634C7549"/>
    <w:rsid w:val="63C60097"/>
    <w:rsid w:val="63FF21E1"/>
    <w:rsid w:val="646456D0"/>
    <w:rsid w:val="6E3C1A03"/>
    <w:rsid w:val="6F8E6F5F"/>
    <w:rsid w:val="6FF729F4"/>
    <w:rsid w:val="70BA5C5D"/>
    <w:rsid w:val="72744F2F"/>
    <w:rsid w:val="731E678F"/>
    <w:rsid w:val="735245B1"/>
    <w:rsid w:val="7EF63D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99"/>
    <w:pPr>
      <w:ind w:firstLine="420" w:firstLineChars="200"/>
    </w:pPr>
  </w:style>
  <w:style w:type="paragraph" w:customStyle="1" w:styleId="10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3">
    <w:name w:val="TOC 标题2"/>
    <w:basedOn w:val="2"/>
    <w:next w:val="1"/>
    <w:semiHidden/>
    <w:unhideWhenUsed/>
    <w:qFormat/>
    <w:uiPriority w:val="39"/>
    <w:pPr>
      <w:keepLines/>
      <w:spacing w:before="340" w:after="330" w:line="578" w:lineRule="auto"/>
      <w:outlineLvl w:val="9"/>
    </w:pPr>
    <w:rPr>
      <w:rFonts w:ascii="Times New Roman" w:hAnsi="Times New Roman"/>
      <w:kern w:val="44"/>
      <w:sz w:val="44"/>
      <w:szCs w:val="44"/>
    </w:rPr>
  </w:style>
  <w:style w:type="paragraph" w:customStyle="1" w:styleId="104">
    <w:name w:val="Heading 1"/>
    <w:basedOn w:val="1"/>
    <w:qFormat/>
    <w:uiPriority w:val="1"/>
    <w:pPr>
      <w:outlineLvl w:val="1"/>
    </w:pPr>
    <w:rPr>
      <w:rFonts w:ascii="宋体" w:hAnsi="宋体"/>
      <w:b/>
      <w:bCs/>
      <w:sz w:val="36"/>
      <w:szCs w:val="36"/>
    </w:rPr>
  </w:style>
  <w:style w:type="paragraph" w:customStyle="1" w:styleId="105">
    <w:name w:val="Heading 2"/>
    <w:basedOn w:val="1"/>
    <w:qFormat/>
    <w:uiPriority w:val="1"/>
    <w:pPr>
      <w:spacing w:before="154"/>
      <w:ind w:left="148"/>
      <w:outlineLvl w:val="2"/>
    </w:pPr>
    <w:rPr>
      <w:rFonts w:ascii="宋体" w:hAnsi="宋体"/>
      <w:b/>
      <w:bCs/>
      <w:sz w:val="24"/>
    </w:rPr>
  </w:style>
  <w:style w:type="paragraph" w:customStyle="1" w:styleId="106">
    <w:name w:val="Table Paragraph"/>
    <w:basedOn w:val="1"/>
    <w:qFormat/>
    <w:uiPriority w:val="1"/>
  </w:style>
  <w:style w:type="character" w:customStyle="1" w:styleId="107">
    <w:name w:val="正文文本 (2) + 10.5 pt"/>
    <w:basedOn w:val="108"/>
    <w:qFormat/>
    <w:uiPriority w:val="0"/>
    <w:rPr>
      <w:color w:val="000000"/>
      <w:spacing w:val="0"/>
      <w:w w:val="100"/>
      <w:position w:val="0"/>
      <w:sz w:val="21"/>
      <w:szCs w:val="21"/>
      <w:lang w:val="zh-TW" w:eastAsia="zh-TW" w:bidi="zh-TW"/>
    </w:rPr>
  </w:style>
  <w:style w:type="character" w:customStyle="1" w:styleId="108">
    <w:name w:val="正文文本 (2)_"/>
    <w:basedOn w:val="39"/>
    <w:link w:val="109"/>
    <w:qFormat/>
    <w:uiPriority w:val="0"/>
    <w:rPr>
      <w:rFonts w:ascii="MingLiU" w:hAnsi="MingLiU" w:eastAsia="MingLiU" w:cs="MingLiU"/>
      <w:sz w:val="22"/>
      <w:szCs w:val="22"/>
    </w:rPr>
  </w:style>
  <w:style w:type="paragraph" w:customStyle="1" w:styleId="109">
    <w:name w:val="正文文本 (2)1"/>
    <w:basedOn w:val="1"/>
    <w:link w:val="108"/>
    <w:qFormat/>
    <w:uiPriority w:val="0"/>
    <w:pPr>
      <w:shd w:val="clear" w:color="auto" w:fill="FFFFFF"/>
      <w:spacing w:before="360" w:after="240" w:line="0" w:lineRule="atLeast"/>
    </w:pPr>
    <w:rPr>
      <w:rFonts w:ascii="MingLiU" w:hAnsi="MingLiU" w:eastAsia="MingLiU" w:cs="MingLiU"/>
      <w:sz w:val="22"/>
      <w:szCs w:val="22"/>
    </w:rPr>
  </w:style>
  <w:style w:type="character" w:customStyle="1" w:styleId="110">
    <w:name w:val="正文文本 (2) + 10 pt"/>
    <w:basedOn w:val="108"/>
    <w:qFormat/>
    <w:uiPriority w:val="0"/>
    <w:rPr>
      <w:color w:val="000000"/>
      <w:spacing w:val="0"/>
      <w:w w:val="100"/>
      <w:position w:val="0"/>
      <w:sz w:val="20"/>
      <w:szCs w:val="20"/>
      <w:lang w:val="en-US" w:eastAsia="en-US" w:bidi="en-US"/>
    </w:rPr>
  </w:style>
  <w:style w:type="character" w:customStyle="1" w:styleId="111">
    <w:name w:val="正文文本 (2)"/>
    <w:basedOn w:val="108"/>
    <w:uiPriority w:val="0"/>
    <w:rPr>
      <w:b/>
      <w:bCs/>
      <w:color w:val="000000"/>
      <w:spacing w:val="0"/>
      <w:w w:val="100"/>
      <w:position w:val="0"/>
      <w:sz w:val="22"/>
      <w:szCs w:val="22"/>
      <w:lang w:val="en-US" w:eastAsia="en-US" w:bidi="en-US"/>
    </w:rPr>
  </w:style>
  <w:style w:type="paragraph" w:customStyle="1" w:styleId="112">
    <w:name w:val="标题 #5"/>
    <w:basedOn w:val="1"/>
    <w:uiPriority w:val="0"/>
    <w:pPr>
      <w:shd w:val="clear" w:color="auto" w:fill="FFFFFF"/>
      <w:spacing w:after="240" w:line="0" w:lineRule="atLeast"/>
      <w:jc w:val="distribute"/>
      <w:outlineLvl w:val="4"/>
    </w:pPr>
    <w:rPr>
      <w:rFonts w:ascii="MingLiU" w:hAnsi="MingLiU" w:eastAsia="MingLiU" w:cs="MingLiU"/>
    </w:rPr>
  </w:style>
  <w:style w:type="table" w:customStyle="1" w:styleId="113">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EE1888-71C9-40DD-B2FD-37BCC3B927E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10575</Words>
  <Characters>3425</Characters>
  <Lines>28</Lines>
  <Paragraphs>27</Paragraphs>
  <TotalTime>1</TotalTime>
  <ScaleCrop>false</ScaleCrop>
  <LinksUpToDate>false</LinksUpToDate>
  <CharactersWithSpaces>13973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2020-09-21T08:23:00Z</dcterms:created>
  <dc:creator>User</dc:creator>
  <cp:lastModifiedBy>Administrator</cp:lastModifiedBy>
  <cp:lastPrinted>2020-04-20T02:52:00Z</cp:lastPrinted>
  <dcterms:modified xsi:type="dcterms:W3CDTF">2022-02-17T09:53:00Z</dcterms:modified>
  <dc:title>第二章  投标人须知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