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 w:val="24"/>
        </w:rPr>
      </w:pPr>
      <w:bookmarkStart w:id="0" w:name="_Toc526778066"/>
      <w:bookmarkStart w:id="1" w:name="_Toc526861349"/>
      <w:bookmarkStart w:id="2" w:name="_Toc61354154"/>
      <w:bookmarkStart w:id="3" w:name="_Toc526246862"/>
      <w:r>
        <w:rPr>
          <w:rFonts w:hint="eastAsia" w:ascii="仿宋" w:hAnsi="仿宋" w:eastAsia="仿宋"/>
          <w:sz w:val="24"/>
        </w:rPr>
        <w:t>招标公告</w:t>
      </w:r>
      <w:bookmarkEnd w:id="0"/>
      <w:bookmarkEnd w:id="1"/>
      <w:bookmarkEnd w:id="2"/>
      <w:bookmarkEnd w:id="3"/>
    </w:p>
    <w:p>
      <w:pPr>
        <w:pStyle w:val="104"/>
        <w:numPr>
          <w:ilvl w:val="0"/>
          <w:numId w:val="1"/>
        </w:numPr>
        <w:tabs>
          <w:tab w:val="left" w:pos="426"/>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4"/>
        <w:numPr>
          <w:ilvl w:val="1"/>
          <w:numId w:val="1"/>
        </w:numPr>
        <w:tabs>
          <w:tab w:val="left" w:pos="567"/>
          <w:tab w:val="clear" w:pos="851"/>
        </w:tabs>
        <w:adjustRightInd w:val="0"/>
        <w:snapToGrid w:val="0"/>
        <w:spacing w:line="360" w:lineRule="exact"/>
        <w:ind w:firstLineChars="0"/>
        <w:contextualSpacing/>
        <w:rPr>
          <w:rFonts w:hint="default" w:ascii="仿宋" w:hAnsi="仿宋" w:eastAsia="仿宋"/>
          <w:sz w:val="24"/>
          <w:lang w:val="en-US"/>
        </w:rPr>
      </w:pPr>
      <w:r>
        <w:rPr>
          <w:rFonts w:hint="eastAsia" w:ascii="仿宋" w:hAnsi="仿宋" w:eastAsia="仿宋"/>
          <w:sz w:val="24"/>
        </w:rPr>
        <w:t>项目编号：HGSGW22</w:t>
      </w:r>
      <w:r>
        <w:rPr>
          <w:rFonts w:hint="eastAsia" w:ascii="仿宋" w:hAnsi="仿宋" w:eastAsia="仿宋"/>
          <w:sz w:val="24"/>
          <w:lang w:val="en-US" w:eastAsia="zh-CN"/>
        </w:rPr>
        <w:t>014</w:t>
      </w:r>
    </w:p>
    <w:p>
      <w:pPr>
        <w:pStyle w:val="104"/>
        <w:numPr>
          <w:ilvl w:val="1"/>
          <w:numId w:val="1"/>
        </w:numPr>
        <w:tabs>
          <w:tab w:val="left" w:pos="567"/>
          <w:tab w:val="clear" w:pos="851"/>
        </w:tabs>
        <w:adjustRightInd w:val="0"/>
        <w:snapToGrid w:val="0"/>
        <w:spacing w:line="360" w:lineRule="exact"/>
        <w:ind w:left="567" w:hanging="567" w:firstLineChars="0"/>
        <w:contextualSpacing/>
        <w:rPr>
          <w:rFonts w:hint="eastAsia" w:ascii="仿宋" w:hAnsi="仿宋" w:eastAsia="仿宋"/>
          <w:sz w:val="24"/>
        </w:rPr>
      </w:pPr>
      <w:r>
        <w:rPr>
          <w:rFonts w:hint="eastAsia" w:ascii="仿宋" w:hAnsi="仿宋" w:eastAsia="仿宋"/>
          <w:sz w:val="24"/>
        </w:rPr>
        <w:t>项目名称：炼铁厂主控室、值班室等整改维修工程</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建设单位：衡阳华菱连轧管有限公司</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工程合同</w:t>
      </w:r>
      <w:r>
        <w:rPr>
          <w:rFonts w:ascii="仿宋" w:hAnsi="仿宋" w:eastAsia="仿宋"/>
          <w:sz w:val="24"/>
        </w:rPr>
        <w:t xml:space="preserve">: </w:t>
      </w:r>
      <w:r>
        <w:rPr>
          <w:rFonts w:hint="eastAsia" w:ascii="仿宋" w:hAnsi="仿宋" w:eastAsia="仿宋"/>
          <w:sz w:val="24"/>
        </w:rPr>
        <w:t>固定单价合同</w:t>
      </w:r>
    </w:p>
    <w:p>
      <w:pPr>
        <w:pStyle w:val="104"/>
        <w:numPr>
          <w:ilvl w:val="0"/>
          <w:numId w:val="1"/>
        </w:numPr>
        <w:tabs>
          <w:tab w:val="left" w:pos="426"/>
          <w:tab w:val="clear" w:pos="851"/>
        </w:tabs>
        <w:spacing w:line="400" w:lineRule="exact"/>
        <w:ind w:left="426" w:hanging="426" w:firstLineChars="0"/>
        <w:rPr>
          <w:rFonts w:ascii="仿宋" w:hAnsi="仿宋" w:eastAsia="仿宋" w:cs="宋体"/>
          <w:b/>
          <w:sz w:val="24"/>
        </w:rPr>
      </w:pPr>
      <w:r>
        <w:rPr>
          <w:rFonts w:hint="eastAsia" w:ascii="仿宋" w:hAnsi="仿宋" w:eastAsia="仿宋" w:cs="宋体"/>
          <w:b/>
          <w:sz w:val="24"/>
        </w:rPr>
        <w:t>招标范围：</w:t>
      </w:r>
    </w:p>
    <w:p>
      <w:pPr>
        <w:spacing w:line="400" w:lineRule="exact"/>
        <w:ind w:left="31680" w:hanging="566" w:hangingChars="236"/>
        <w:rPr>
          <w:rFonts w:ascii="仿宋" w:hAnsi="仿宋" w:eastAsia="仿宋" w:cs="仿宋"/>
          <w:sz w:val="24"/>
        </w:rPr>
      </w:pPr>
      <w:r>
        <w:rPr>
          <w:rFonts w:ascii="仿宋" w:hAnsi="仿宋" w:eastAsia="仿宋" w:cs="仿宋"/>
          <w:sz w:val="24"/>
        </w:rPr>
        <w:t xml:space="preserve">2.1  </w:t>
      </w:r>
      <w:r>
        <w:rPr>
          <w:rFonts w:hint="eastAsia" w:ascii="仿宋" w:hAnsi="仿宋" w:eastAsia="仿宋"/>
          <w:sz w:val="24"/>
        </w:rPr>
        <w:t>炼铁厂原料车间主控室、会议室、办公室等共</w:t>
      </w:r>
      <w:r>
        <w:rPr>
          <w:rFonts w:ascii="仿宋" w:hAnsi="仿宋" w:eastAsia="仿宋"/>
          <w:sz w:val="24"/>
        </w:rPr>
        <w:t>6</w:t>
      </w:r>
      <w:r>
        <w:rPr>
          <w:rFonts w:hint="eastAsia" w:ascii="仿宋" w:hAnsi="仿宋" w:eastAsia="仿宋"/>
          <w:sz w:val="24"/>
        </w:rPr>
        <w:t>处内墙面整改维修</w:t>
      </w:r>
      <w:r>
        <w:rPr>
          <w:rFonts w:hint="eastAsia" w:ascii="仿宋" w:hAnsi="仿宋" w:eastAsia="仿宋" w:cs="仿宋"/>
          <w:sz w:val="24"/>
        </w:rPr>
        <w:t>。</w:t>
      </w:r>
    </w:p>
    <w:p>
      <w:pPr>
        <w:spacing w:line="400" w:lineRule="exact"/>
        <w:ind w:left="31680" w:hanging="986" w:hangingChars="411"/>
        <w:rPr>
          <w:rFonts w:ascii="仿宋" w:hAnsi="仿宋" w:eastAsia="仿宋" w:cs="仿宋"/>
          <w:sz w:val="24"/>
        </w:rPr>
      </w:pPr>
      <w:r>
        <w:rPr>
          <w:rFonts w:ascii="仿宋" w:hAnsi="仿宋" w:eastAsia="仿宋" w:cs="仿宋"/>
          <w:sz w:val="24"/>
        </w:rPr>
        <w:t xml:space="preserve">2.2  </w:t>
      </w:r>
      <w:r>
        <w:rPr>
          <w:rFonts w:hint="eastAsia" w:ascii="仿宋" w:hAnsi="仿宋" w:eastAsia="仿宋"/>
          <w:sz w:val="24"/>
        </w:rPr>
        <w:t>炼铁厂高炉车间主控楼西楼梯间内墙面整改维修</w:t>
      </w:r>
      <w:r>
        <w:rPr>
          <w:rFonts w:hint="eastAsia" w:ascii="仿宋" w:hAnsi="仿宋" w:eastAsia="仿宋" w:cs="仿宋"/>
          <w:sz w:val="24"/>
        </w:rPr>
        <w:t>。</w:t>
      </w:r>
    </w:p>
    <w:p>
      <w:pPr>
        <w:spacing w:line="400" w:lineRule="exact"/>
        <w:ind w:left="31680" w:hanging="986" w:hangingChars="411"/>
        <w:rPr>
          <w:rFonts w:ascii="仿宋" w:hAnsi="仿宋" w:eastAsia="仿宋"/>
          <w:sz w:val="24"/>
        </w:rPr>
      </w:pPr>
      <w:r>
        <w:rPr>
          <w:rFonts w:ascii="仿宋" w:hAnsi="仿宋" w:eastAsia="仿宋" w:cs="仿宋"/>
          <w:sz w:val="24"/>
        </w:rPr>
        <w:t xml:space="preserve">2.3  </w:t>
      </w:r>
      <w:r>
        <w:rPr>
          <w:rFonts w:hint="eastAsia" w:ascii="仿宋" w:hAnsi="仿宋" w:eastAsia="仿宋"/>
          <w:sz w:val="24"/>
        </w:rPr>
        <w:t>炼铁厂烧结车间主控室、值班室共</w:t>
      </w:r>
      <w:r>
        <w:rPr>
          <w:rFonts w:ascii="仿宋" w:hAnsi="仿宋" w:eastAsia="仿宋"/>
          <w:sz w:val="24"/>
        </w:rPr>
        <w:t>5</w:t>
      </w:r>
      <w:r>
        <w:rPr>
          <w:rFonts w:hint="eastAsia" w:ascii="仿宋" w:hAnsi="仿宋" w:eastAsia="仿宋"/>
          <w:sz w:val="24"/>
        </w:rPr>
        <w:t>处内墙面整改维修。</w:t>
      </w:r>
    </w:p>
    <w:p>
      <w:pPr>
        <w:spacing w:line="400" w:lineRule="exact"/>
        <w:ind w:left="31680" w:hanging="986" w:hangingChars="411"/>
        <w:rPr>
          <w:rFonts w:ascii="仿宋" w:hAnsi="仿宋" w:eastAsia="仿宋" w:cs="仿宋"/>
          <w:sz w:val="24"/>
        </w:rPr>
      </w:pPr>
      <w:r>
        <w:rPr>
          <w:rFonts w:ascii="仿宋" w:hAnsi="仿宋" w:eastAsia="仿宋" w:cs="仿宋"/>
          <w:sz w:val="24"/>
        </w:rPr>
        <w:t xml:space="preserve">2.4  </w:t>
      </w:r>
      <w:r>
        <w:rPr>
          <w:rFonts w:hint="eastAsia" w:ascii="仿宋" w:hAnsi="仿宋" w:eastAsia="仿宋"/>
          <w:sz w:val="24"/>
        </w:rPr>
        <w:t>炼铁厂电气车间值班室共</w:t>
      </w:r>
      <w:r>
        <w:rPr>
          <w:rFonts w:ascii="仿宋" w:hAnsi="仿宋" w:eastAsia="仿宋"/>
          <w:sz w:val="24"/>
        </w:rPr>
        <w:t>4</w:t>
      </w:r>
      <w:r>
        <w:rPr>
          <w:rFonts w:hint="eastAsia" w:ascii="仿宋" w:hAnsi="仿宋" w:eastAsia="仿宋"/>
          <w:sz w:val="24"/>
        </w:rPr>
        <w:t>处内墙面整改维修。</w:t>
      </w:r>
    </w:p>
    <w:p>
      <w:pPr>
        <w:pStyle w:val="21"/>
        <w:spacing w:line="400" w:lineRule="exact"/>
        <w:ind w:left="664" w:leftChars="316" w:firstLine="388" w:firstLineChars="162"/>
        <w:rPr>
          <w:rFonts w:ascii="仿宋" w:hAnsi="仿宋" w:eastAsia="仿宋" w:cs="仿宋"/>
          <w:sz w:val="24"/>
        </w:rPr>
      </w:pPr>
      <w:r>
        <w:rPr>
          <w:rFonts w:hint="eastAsia" w:ascii="仿宋" w:hAnsi="仿宋" w:eastAsia="仿宋" w:cs="仿宋"/>
          <w:sz w:val="24"/>
        </w:rPr>
        <w:t>以上为主要工程内容，具体详细的工程内容、数量详见技术要求规格书、工程量清单，</w:t>
      </w:r>
      <w:r>
        <w:rPr>
          <w:rFonts w:hint="eastAsia" w:ascii="仿宋" w:hAnsi="仿宋" w:eastAsia="仿宋" w:cs="仿宋"/>
          <w:bCs/>
          <w:sz w:val="24"/>
        </w:rPr>
        <w:t>本次招标清单单价招标</w:t>
      </w:r>
      <w:r>
        <w:rPr>
          <w:rFonts w:hint="eastAsia" w:ascii="仿宋" w:hAnsi="仿宋" w:eastAsia="仿宋" w:cs="仿宋"/>
          <w:sz w:val="24"/>
        </w:rPr>
        <w:t>。</w:t>
      </w:r>
    </w:p>
    <w:p>
      <w:pPr>
        <w:spacing w:line="400" w:lineRule="exact"/>
        <w:ind w:firstLine="600" w:firstLineChars="250"/>
        <w:rPr>
          <w:rFonts w:ascii="仿宋" w:hAnsi="仿宋" w:eastAsia="仿宋" w:cs="仿宋"/>
          <w:sz w:val="24"/>
        </w:rPr>
      </w:pPr>
      <w:r>
        <w:rPr>
          <w:rFonts w:hint="eastAsia" w:ascii="仿宋" w:hAnsi="仿宋" w:eastAsia="仿宋" w:cs="仿宋"/>
          <w:sz w:val="24"/>
        </w:rPr>
        <w:t>施工地点：衡阳华菱连轧管有限公司炼铁厂</w:t>
      </w:r>
    </w:p>
    <w:p>
      <w:pPr>
        <w:tabs>
          <w:tab w:val="left" w:pos="378"/>
        </w:tabs>
        <w:spacing w:line="400" w:lineRule="exact"/>
        <w:ind w:firstLine="600" w:firstLineChars="250"/>
        <w:rPr>
          <w:rFonts w:ascii="仿宋" w:hAnsi="仿宋" w:eastAsia="仿宋" w:cs="仿宋"/>
          <w:sz w:val="24"/>
        </w:rPr>
      </w:pPr>
      <w:r>
        <w:rPr>
          <w:rFonts w:hint="eastAsia" w:ascii="仿宋" w:hAnsi="仿宋" w:eastAsia="仿宋" w:cs="仿宋"/>
          <w:sz w:val="24"/>
        </w:rPr>
        <w:t>工期：</w:t>
      </w:r>
      <w:r>
        <w:rPr>
          <w:rFonts w:hint="eastAsia" w:ascii="仿宋" w:hAnsi="仿宋" w:eastAsia="仿宋"/>
          <w:sz w:val="24"/>
        </w:rPr>
        <w:t>本工程要求中标通知书下达后，根据炼铁厂要求进行施工，工期</w:t>
      </w:r>
      <w:r>
        <w:rPr>
          <w:rFonts w:ascii="仿宋" w:hAnsi="仿宋" w:eastAsia="仿宋"/>
          <w:sz w:val="24"/>
        </w:rPr>
        <w:t>30</w:t>
      </w:r>
      <w:r>
        <w:rPr>
          <w:rFonts w:hint="eastAsia" w:ascii="仿宋" w:hAnsi="仿宋" w:eastAsia="仿宋"/>
          <w:sz w:val="24"/>
        </w:rPr>
        <w:t>天</w:t>
      </w:r>
      <w:r>
        <w:rPr>
          <w:rFonts w:hint="eastAsia" w:ascii="仿宋" w:hAnsi="仿宋" w:eastAsia="仿宋" w:cs="仿宋"/>
          <w:bCs/>
          <w:sz w:val="24"/>
        </w:rPr>
        <w:t>。</w:t>
      </w:r>
    </w:p>
    <w:p>
      <w:pPr>
        <w:pStyle w:val="104"/>
        <w:numPr>
          <w:ilvl w:val="0"/>
          <w:numId w:val="1"/>
        </w:numPr>
        <w:tabs>
          <w:tab w:val="left" w:pos="426"/>
          <w:tab w:val="clear" w:pos="851"/>
        </w:tabs>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32"/>
        <w:numPr>
          <w:ilvl w:val="1"/>
          <w:numId w:val="1"/>
        </w:numPr>
        <w:tabs>
          <w:tab w:val="left" w:pos="567"/>
          <w:tab w:val="clear" w:pos="851"/>
        </w:tabs>
        <w:spacing w:after="0" w:line="400" w:lineRule="exact"/>
        <w:ind w:left="567" w:hanging="567"/>
        <w:rPr>
          <w:rFonts w:ascii="仿宋" w:hAnsi="仿宋" w:eastAsia="仿宋"/>
          <w:sz w:val="24"/>
        </w:rPr>
      </w:pPr>
      <w:r>
        <w:rPr>
          <w:rFonts w:hint="eastAsia" w:ascii="仿宋" w:hAnsi="仿宋" w:eastAsia="仿宋"/>
          <w:sz w:val="24"/>
        </w:rPr>
        <w:t>具有中华人民共和国独立法人资格的企业，依法取得营业执照，企业注册资本金人民币</w:t>
      </w:r>
      <w:r>
        <w:rPr>
          <w:rFonts w:ascii="仿宋" w:hAnsi="仿宋" w:eastAsia="仿宋"/>
          <w:sz w:val="24"/>
        </w:rPr>
        <w:t>1000</w:t>
      </w:r>
      <w:r>
        <w:rPr>
          <w:rFonts w:hint="eastAsia" w:ascii="仿宋" w:hAnsi="仿宋" w:eastAsia="仿宋"/>
          <w:sz w:val="24"/>
        </w:rPr>
        <w:t>万元及以上，注册时间三年及以上，具有履行合同的财务、技术、施工和服务能力。</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遵守国家法律、行政法规，具有良好的商业信誉，未被工商行政管理机关在全国企业信用信息公示系统中列入严重违法失信企业名单。</w:t>
      </w:r>
    </w:p>
    <w:p>
      <w:pPr>
        <w:pStyle w:val="32"/>
        <w:numPr>
          <w:ilvl w:val="1"/>
          <w:numId w:val="1"/>
        </w:numPr>
        <w:tabs>
          <w:tab w:val="left" w:pos="567"/>
          <w:tab w:val="left" w:pos="709"/>
        </w:tabs>
        <w:spacing w:after="0" w:line="400" w:lineRule="exact"/>
        <w:ind w:left="567" w:hanging="567"/>
        <w:rPr>
          <w:rFonts w:ascii="仿宋" w:hAnsi="仿宋" w:eastAsia="仿宋"/>
          <w:sz w:val="24"/>
        </w:rPr>
      </w:pPr>
      <w:r>
        <w:rPr>
          <w:rFonts w:hint="eastAsia" w:ascii="仿宋" w:hAnsi="仿宋" w:eastAsia="仿宋"/>
          <w:sz w:val="24"/>
        </w:rPr>
        <w:t>投标人财务状况良好，没有处于资产被接管或冻结状态。未被法院在“信用中国”网站（</w:t>
      </w:r>
      <w:r>
        <w:fldChar w:fldCharType="begin"/>
      </w:r>
      <w:r>
        <w:instrText xml:space="preserve"> HYPERLINK "http://www.creditchian.gov.cn" </w:instrText>
      </w:r>
      <w:r>
        <w:fldChar w:fldCharType="separate"/>
      </w:r>
      <w:r>
        <w:rPr>
          <w:rFonts w:ascii="仿宋" w:hAnsi="仿宋" w:eastAsia="仿宋"/>
          <w:sz w:val="24"/>
        </w:rPr>
        <w:t>www.creditchian.gov.cn</w:t>
      </w:r>
      <w:r>
        <w:rPr>
          <w:rFonts w:ascii="仿宋" w:hAnsi="仿宋" w:eastAsia="仿宋"/>
          <w:sz w:val="24"/>
        </w:rPr>
        <w:fldChar w:fldCharType="end"/>
      </w:r>
      <w:r>
        <w:rPr>
          <w:rFonts w:hint="eastAsia" w:ascii="仿宋" w:hAnsi="仿宋" w:eastAsia="仿宋"/>
          <w:sz w:val="24"/>
        </w:rPr>
        <w:t>）或公共信用平台列入失信名单。</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投标人须为具有建筑工程施工总承包三级及以上资质的法人企业，项目经理须具有二级建造师及以上执业资格证书，技术负责人具有中级及以上职称（须提供企业资质、人员证书、社保证明复印件）。</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项目经理、技术负责人近三年内有类似工程经验，须提供相关业绩证明文件（须提供合同复印件）。</w:t>
      </w:r>
    </w:p>
    <w:p>
      <w:pPr>
        <w:pStyle w:val="32"/>
        <w:numPr>
          <w:ilvl w:val="1"/>
          <w:numId w:val="1"/>
        </w:numPr>
        <w:tabs>
          <w:tab w:val="left" w:pos="567"/>
          <w:tab w:val="left" w:pos="709"/>
        </w:tabs>
        <w:spacing w:after="0" w:line="400" w:lineRule="exact"/>
        <w:ind w:left="567" w:hanging="567"/>
        <w:rPr>
          <w:rFonts w:ascii="仿宋" w:hAnsi="仿宋" w:eastAsia="仿宋"/>
          <w:sz w:val="24"/>
        </w:rPr>
      </w:pPr>
      <w:r>
        <w:rPr>
          <w:rFonts w:hint="eastAsia" w:ascii="仿宋" w:hAnsi="仿宋" w:eastAsia="仿宋"/>
          <w:sz w:val="24"/>
        </w:rPr>
        <w:t>本工程参与投标的项目经理和技术负责人必须亲自对本工程进行全过程管理，未经招标人许可，不得更换易人，否则作违约处理。</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本招标项目不接受列入湖南华菱钢铁集团有限责任公司及其分（子）公司供应商黑名单，或衡阳华菱钢管（连轧管）有限公司供应商资格暂停、取消、淘汰期间的单位或个人投标。</w:t>
      </w:r>
    </w:p>
    <w:p>
      <w:pPr>
        <w:pStyle w:val="32"/>
        <w:numPr>
          <w:ilvl w:val="1"/>
          <w:numId w:val="1"/>
        </w:numPr>
        <w:tabs>
          <w:tab w:val="left" w:pos="567"/>
          <w:tab w:val="left" w:pos="709"/>
        </w:tabs>
        <w:spacing w:after="0" w:line="400" w:lineRule="exact"/>
        <w:rPr>
          <w:rFonts w:ascii="仿宋" w:hAnsi="仿宋" w:eastAsia="仿宋"/>
          <w:sz w:val="24"/>
        </w:rPr>
      </w:pPr>
      <w:r>
        <w:rPr>
          <w:rFonts w:hint="eastAsia" w:ascii="仿宋" w:hAnsi="仿宋" w:eastAsia="仿宋"/>
          <w:sz w:val="24"/>
        </w:rPr>
        <w:t>本工程不接受联合体投标。</w:t>
      </w:r>
    </w:p>
    <w:p>
      <w:pPr>
        <w:pStyle w:val="104"/>
        <w:numPr>
          <w:ilvl w:val="0"/>
          <w:numId w:val="1"/>
        </w:numPr>
        <w:tabs>
          <w:tab w:val="left" w:pos="426"/>
          <w:tab w:val="clear" w:pos="851"/>
        </w:tabs>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招标文件获取</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ascii="仿宋" w:hAnsi="仿宋" w:eastAsia="仿宋"/>
          <w:sz w:val="24"/>
          <w:highlight w:val="none"/>
        </w:rPr>
      </w:pPr>
      <w:r>
        <w:rPr>
          <w:rFonts w:hint="eastAsia" w:ascii="仿宋" w:hAnsi="仿宋" w:eastAsia="仿宋"/>
          <w:sz w:val="24"/>
        </w:rPr>
        <w:t>请投标单位自行下载或查阅招标文件及相关资料等，恕不另行通知，如有遗漏，招标人概</w:t>
      </w:r>
      <w:r>
        <w:rPr>
          <w:rFonts w:hint="eastAsia" w:ascii="仿宋" w:hAnsi="仿宋" w:eastAsia="仿宋"/>
          <w:sz w:val="24"/>
          <w:highlight w:val="none"/>
        </w:rPr>
        <w:t>不负责。</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highlight w:val="none"/>
        </w:rPr>
      </w:pPr>
      <w:r>
        <w:rPr>
          <w:rFonts w:hint="eastAsia" w:ascii="仿宋" w:hAnsi="仿宋" w:eastAsia="仿宋"/>
          <w:sz w:val="24"/>
          <w:highlight w:val="none"/>
        </w:rPr>
        <w:t>招标文件售价</w:t>
      </w:r>
      <w:r>
        <w:rPr>
          <w:rFonts w:ascii="仿宋" w:hAnsi="仿宋" w:eastAsia="仿宋"/>
          <w:sz w:val="24"/>
          <w:highlight w:val="none"/>
        </w:rPr>
        <w:t>100</w:t>
      </w:r>
      <w:r>
        <w:rPr>
          <w:rFonts w:hint="eastAsia" w:ascii="仿宋" w:hAnsi="仿宋" w:eastAsia="仿宋"/>
          <w:sz w:val="24"/>
          <w:highlight w:val="none"/>
        </w:rPr>
        <w:t>元人民币，扫码支付。</w:t>
      </w:r>
    </w:p>
    <w:p>
      <w:pPr>
        <w:pStyle w:val="104"/>
        <w:numPr>
          <w:ilvl w:val="0"/>
          <w:numId w:val="1"/>
        </w:numPr>
        <w:tabs>
          <w:tab w:val="left" w:pos="426"/>
          <w:tab w:val="clear" w:pos="851"/>
        </w:tabs>
        <w:adjustRightInd w:val="0"/>
        <w:snapToGrid w:val="0"/>
        <w:spacing w:line="360" w:lineRule="exact"/>
        <w:ind w:left="2582" w:hanging="2580" w:firstLineChars="0"/>
        <w:contextualSpacing/>
        <w:rPr>
          <w:rFonts w:ascii="仿宋" w:hAnsi="仿宋" w:eastAsia="仿宋"/>
          <w:b/>
          <w:sz w:val="24"/>
          <w:highlight w:val="none"/>
        </w:rPr>
      </w:pPr>
      <w:r>
        <w:rPr>
          <w:rFonts w:hint="eastAsia" w:ascii="仿宋" w:hAnsi="仿宋" w:eastAsia="仿宋"/>
          <w:b/>
          <w:sz w:val="24"/>
          <w:highlight w:val="none"/>
        </w:rPr>
        <w:t>投标保证金</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highlight w:val="none"/>
        </w:rPr>
      </w:pPr>
      <w:r>
        <w:rPr>
          <w:rFonts w:hint="eastAsia" w:ascii="仿宋" w:hAnsi="仿宋" w:eastAsia="仿宋"/>
          <w:sz w:val="24"/>
          <w:highlight w:val="none"/>
        </w:rPr>
        <w:t>投标保证金金额：</w:t>
      </w:r>
      <w:r>
        <w:rPr>
          <w:rFonts w:ascii="仿宋" w:hAnsi="仿宋" w:eastAsia="仿宋"/>
          <w:b/>
          <w:sz w:val="24"/>
          <w:highlight w:val="none"/>
          <w:u w:val="single"/>
        </w:rPr>
        <w:t>3000</w:t>
      </w:r>
      <w:r>
        <w:rPr>
          <w:rFonts w:hint="eastAsia" w:ascii="仿宋" w:hAnsi="仿宋" w:eastAsia="仿宋"/>
          <w:sz w:val="24"/>
          <w:highlight w:val="none"/>
        </w:rPr>
        <w:t>元人民币。</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highlight w:val="none"/>
        </w:rPr>
      </w:pPr>
      <w:r>
        <w:rPr>
          <w:rFonts w:hint="eastAsia" w:ascii="仿宋" w:hAnsi="仿宋" w:eastAsia="仿宋"/>
          <w:sz w:val="24"/>
          <w:highlight w:val="none"/>
        </w:rPr>
        <w:t>投标保证金缴纳截止时间为投标截止时间前。</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highlight w:val="none"/>
        </w:rPr>
      </w:pPr>
      <w:r>
        <w:rPr>
          <w:rFonts w:hint="eastAsia" w:ascii="仿宋" w:hAnsi="仿宋" w:eastAsia="仿宋"/>
          <w:sz w:val="24"/>
          <w:highlight w:val="none"/>
        </w:rPr>
        <w:t>投标保证金缴纳方式：电汇、转账或投标单位在衡钢的货款（工程款）。</w:t>
      </w:r>
    </w:p>
    <w:p>
      <w:pPr>
        <w:adjustRightInd w:val="0"/>
        <w:snapToGrid w:val="0"/>
        <w:spacing w:line="360" w:lineRule="exact"/>
        <w:ind w:left="567" w:leftChars="270"/>
        <w:contextualSpacing/>
        <w:rPr>
          <w:rFonts w:ascii="仿宋" w:hAnsi="仿宋" w:eastAsia="仿宋"/>
          <w:sz w:val="24"/>
          <w:highlight w:val="none"/>
        </w:rPr>
      </w:pPr>
      <w:r>
        <w:rPr>
          <w:rFonts w:hint="eastAsia" w:ascii="仿宋" w:hAnsi="仿宋" w:eastAsia="仿宋"/>
          <w:sz w:val="24"/>
          <w:highlight w:val="none"/>
        </w:rPr>
        <w:t>开户行：工行衡阳银雁支行</w:t>
      </w:r>
      <w:r>
        <w:rPr>
          <w:rFonts w:ascii="仿宋" w:hAnsi="仿宋" w:eastAsia="仿宋"/>
          <w:sz w:val="24"/>
          <w:highlight w:val="none"/>
        </w:rPr>
        <w:t xml:space="preserve">    </w:t>
      </w:r>
    </w:p>
    <w:p>
      <w:pPr>
        <w:adjustRightInd w:val="0"/>
        <w:snapToGrid w:val="0"/>
        <w:spacing w:line="360" w:lineRule="exact"/>
        <w:ind w:left="567" w:leftChars="270"/>
        <w:contextualSpacing/>
        <w:rPr>
          <w:rFonts w:ascii="仿宋" w:hAnsi="仿宋" w:eastAsia="仿宋"/>
          <w:sz w:val="24"/>
          <w:highlight w:val="none"/>
        </w:rPr>
      </w:pPr>
      <w:r>
        <w:rPr>
          <w:rFonts w:hint="eastAsia" w:ascii="仿宋" w:hAnsi="仿宋" w:eastAsia="仿宋"/>
          <w:sz w:val="24"/>
          <w:highlight w:val="none"/>
        </w:rPr>
        <w:t>开户名：衡阳华菱连轧管有限公司</w:t>
      </w:r>
    </w:p>
    <w:p>
      <w:pPr>
        <w:adjustRightInd w:val="0"/>
        <w:snapToGrid w:val="0"/>
        <w:spacing w:line="360" w:lineRule="exact"/>
        <w:ind w:left="849" w:leftChars="271" w:hanging="280" w:hangingChars="117"/>
        <w:contextualSpacing/>
        <w:rPr>
          <w:rFonts w:ascii="仿宋" w:hAnsi="仿宋" w:eastAsia="仿宋"/>
          <w:sz w:val="24"/>
        </w:rPr>
      </w:pPr>
      <w:r>
        <w:rPr>
          <w:rFonts w:hint="eastAsia" w:ascii="仿宋" w:hAnsi="仿宋" w:eastAsia="仿宋"/>
          <w:sz w:val="24"/>
        </w:rPr>
        <w:t>帐</w:t>
      </w:r>
      <w:r>
        <w:rPr>
          <w:rFonts w:ascii="仿宋" w:hAnsi="仿宋" w:eastAsia="仿宋"/>
          <w:sz w:val="24"/>
        </w:rPr>
        <w:t xml:space="preserve">  </w:t>
      </w:r>
      <w:r>
        <w:rPr>
          <w:rFonts w:hint="eastAsia" w:ascii="仿宋" w:hAnsi="仿宋" w:eastAsia="仿宋"/>
          <w:sz w:val="24"/>
        </w:rPr>
        <w:t>号：</w:t>
      </w:r>
      <w:r>
        <w:rPr>
          <w:rFonts w:ascii="仿宋" w:hAnsi="仿宋" w:eastAsia="仿宋"/>
          <w:sz w:val="24"/>
        </w:rPr>
        <w:t>1905022319020105051</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4"/>
        <w:numPr>
          <w:ilvl w:val="0"/>
          <w:numId w:val="1"/>
        </w:numPr>
        <w:tabs>
          <w:tab w:val="left" w:pos="426"/>
          <w:tab w:val="clear" w:pos="851"/>
        </w:tabs>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仿宋"/>
          <w:b/>
          <w:color w:val="auto"/>
          <w:sz w:val="24"/>
          <w:highlight w:val="none"/>
          <w:u w:val="single"/>
        </w:rPr>
        <w:t>2022年</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u w:val="single"/>
        </w:rPr>
        <w:t>月</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u w:val="single"/>
        </w:rPr>
        <w:t>日</w:t>
      </w:r>
      <w:r>
        <w:rPr>
          <w:rFonts w:hint="eastAsia" w:ascii="仿宋" w:hAnsi="仿宋" w:eastAsia="仿宋" w:cs="仿宋"/>
          <w:b/>
          <w:color w:val="auto"/>
          <w:sz w:val="24"/>
          <w:highlight w:val="none"/>
          <w:u w:val="single"/>
          <w:lang w:eastAsia="zh-CN"/>
        </w:rPr>
        <w:t>下</w:t>
      </w:r>
      <w:r>
        <w:rPr>
          <w:rFonts w:hint="eastAsia" w:ascii="仿宋" w:hAnsi="仿宋" w:eastAsia="仿宋" w:cs="仿宋"/>
          <w:b/>
          <w:color w:val="auto"/>
          <w:sz w:val="24"/>
          <w:highlight w:val="none"/>
          <w:u w:val="single"/>
        </w:rPr>
        <w:t>午</w:t>
      </w:r>
      <w:r>
        <w:rPr>
          <w:rFonts w:hint="eastAsia" w:ascii="仿宋" w:hAnsi="仿宋" w:eastAsia="仿宋" w:cs="仿宋"/>
          <w:b/>
          <w:color w:val="auto"/>
          <w:sz w:val="24"/>
          <w:highlight w:val="none"/>
          <w:u w:val="single"/>
          <w:lang w:val="en-US" w:eastAsia="zh-CN"/>
        </w:rPr>
        <w:t>14</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(北京时间)</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sz w:val="24"/>
        </w:rPr>
      </w:pPr>
      <w:r>
        <w:rPr>
          <w:rFonts w:hint="eastAsia" w:ascii="仿宋" w:hAnsi="仿宋" w:eastAsia="仿宋"/>
          <w:sz w:val="24"/>
        </w:rPr>
        <w:t>投标文件递交及开标地点：衡阳华菱钢管有限公司西办公楼三楼开标二室（采购部三楼）</w:t>
      </w:r>
      <w:r>
        <w:rPr>
          <w:rFonts w:ascii="仿宋" w:hAnsi="仿宋" w:eastAsia="仿宋"/>
          <w:sz w:val="24"/>
        </w:rPr>
        <w:t xml:space="preserve">                  </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4"/>
        <w:numPr>
          <w:ilvl w:val="0"/>
          <w:numId w:val="1"/>
        </w:numPr>
        <w:tabs>
          <w:tab w:val="left" w:pos="426"/>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4"/>
        <w:adjustRightInd w:val="0"/>
        <w:snapToGrid w:val="0"/>
        <w:spacing w:line="360" w:lineRule="exact"/>
        <w:ind w:left="567"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4"/>
        <w:numPr>
          <w:ilvl w:val="0"/>
          <w:numId w:val="1"/>
        </w:numPr>
        <w:tabs>
          <w:tab w:val="left" w:pos="426"/>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4"/>
        <w:adjustRightInd w:val="0"/>
        <w:snapToGrid w:val="0"/>
        <w:spacing w:line="360" w:lineRule="exact"/>
        <w:ind w:left="567"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4"/>
        <w:numPr>
          <w:ilvl w:val="0"/>
          <w:numId w:val="1"/>
        </w:numPr>
        <w:tabs>
          <w:tab w:val="left" w:pos="426"/>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4"/>
        <w:tabs>
          <w:tab w:val="left" w:pos="567"/>
        </w:tabs>
        <w:snapToGrid w:val="0"/>
        <w:spacing w:line="400" w:lineRule="exact"/>
        <w:ind w:firstLine="600" w:firstLineChars="25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0677994"/>
      <w:bookmarkStart w:id="5" w:name="_Toc303864862"/>
      <w:r>
        <w:rPr>
          <w:rFonts w:hint="eastAsia" w:ascii="仿宋" w:hAnsi="仿宋" w:eastAsia="仿宋"/>
          <w:sz w:val="24"/>
        </w:rPr>
        <w:t>纪委，电话：</w:t>
      </w:r>
      <w:bookmarkEnd w:id="4"/>
      <w:bookmarkEnd w:id="5"/>
      <w:r>
        <w:rPr>
          <w:rFonts w:ascii="仿宋" w:hAnsi="仿宋" w:eastAsia="仿宋" w:cs="宋体"/>
          <w:kern w:val="0"/>
          <w:sz w:val="24"/>
        </w:rPr>
        <w:t>0734-8872189</w:t>
      </w:r>
    </w:p>
    <w:p>
      <w:pPr>
        <w:pStyle w:val="104"/>
        <w:numPr>
          <w:ilvl w:val="0"/>
          <w:numId w:val="1"/>
        </w:numPr>
        <w:tabs>
          <w:tab w:val="left" w:pos="426"/>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4"/>
        <w:adjustRightInd w:val="0"/>
        <w:snapToGrid w:val="0"/>
        <w:spacing w:line="360" w:lineRule="exact"/>
        <w:ind w:left="567"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4"/>
        <w:numPr>
          <w:ilvl w:val="0"/>
          <w:numId w:val="1"/>
        </w:numPr>
        <w:tabs>
          <w:tab w:val="left" w:pos="426"/>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联系方式：</w:t>
      </w:r>
    </w:p>
    <w:p>
      <w:pPr>
        <w:spacing w:line="360" w:lineRule="exact"/>
        <w:ind w:firstLine="566" w:firstLineChars="236"/>
        <w:rPr>
          <w:rFonts w:ascii="仿宋" w:hAnsi="仿宋" w:eastAsia="仿宋" w:cs="仿宋"/>
          <w:sz w:val="24"/>
        </w:rPr>
      </w:pPr>
      <w:r>
        <w:rPr>
          <w:rFonts w:hint="eastAsia" w:ascii="仿宋" w:hAnsi="仿宋" w:eastAsia="仿宋" w:cs="仿宋"/>
          <w:sz w:val="24"/>
        </w:rPr>
        <w:t>项目联系人：熊先生</w:t>
      </w:r>
    </w:p>
    <w:p>
      <w:pPr>
        <w:spacing w:line="360" w:lineRule="exact"/>
        <w:ind w:firstLine="566" w:firstLineChars="236"/>
        <w:rPr>
          <w:rFonts w:ascii="仿宋" w:hAnsi="仿宋" w:eastAsia="仿宋" w:cs="仿宋"/>
          <w:sz w:val="24"/>
        </w:rPr>
      </w:pPr>
      <w:r>
        <w:rPr>
          <w:rFonts w:hint="eastAsia" w:ascii="仿宋" w:hAnsi="仿宋" w:eastAsia="仿宋" w:cs="仿宋"/>
          <w:sz w:val="24"/>
        </w:rPr>
        <w:t>电话：（</w:t>
      </w:r>
      <w:r>
        <w:rPr>
          <w:rFonts w:ascii="仿宋" w:hAnsi="仿宋" w:eastAsia="仿宋" w:cs="仿宋"/>
          <w:sz w:val="24"/>
        </w:rPr>
        <w:t>0734</w:t>
      </w:r>
      <w:r>
        <w:rPr>
          <w:rFonts w:hint="eastAsia" w:ascii="仿宋" w:hAnsi="仿宋" w:eastAsia="仿宋" w:cs="仿宋"/>
          <w:sz w:val="24"/>
        </w:rPr>
        <w:t>）</w:t>
      </w:r>
      <w:r>
        <w:rPr>
          <w:rFonts w:ascii="仿宋" w:hAnsi="仿宋" w:eastAsia="仿宋" w:cs="仿宋"/>
          <w:sz w:val="24"/>
        </w:rPr>
        <w:t xml:space="preserve">8872820    </w:t>
      </w:r>
      <w:r>
        <w:rPr>
          <w:rFonts w:hint="eastAsia" w:ascii="仿宋" w:hAnsi="仿宋" w:eastAsia="仿宋" w:cs="仿宋"/>
          <w:sz w:val="24"/>
        </w:rPr>
        <w:t>手机：</w:t>
      </w:r>
      <w:r>
        <w:rPr>
          <w:rFonts w:ascii="仿宋" w:hAnsi="仿宋" w:eastAsia="仿宋" w:cs="仿宋"/>
          <w:sz w:val="24"/>
        </w:rPr>
        <w:t>18684587597</w:t>
      </w:r>
    </w:p>
    <w:p>
      <w:pPr>
        <w:spacing w:line="360" w:lineRule="exact"/>
        <w:ind w:firstLine="566" w:firstLineChars="236"/>
        <w:jc w:val="left"/>
        <w:rPr>
          <w:rFonts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pacing w:line="360" w:lineRule="exact"/>
        <w:ind w:firstLine="566" w:firstLineChars="236"/>
        <w:rPr>
          <w:rFonts w:ascii="仿宋" w:hAnsi="仿宋" w:eastAsia="仿宋" w:cs="仿宋"/>
          <w:sz w:val="24"/>
        </w:rPr>
      </w:pPr>
      <w:r>
        <w:rPr>
          <w:rFonts w:hint="eastAsia" w:ascii="仿宋" w:hAnsi="仿宋" w:eastAsia="仿宋" w:cs="仿宋"/>
          <w:sz w:val="24"/>
        </w:rPr>
        <w:t>炼铁厂联系人：吴先生</w:t>
      </w:r>
      <w:r>
        <w:rPr>
          <w:rFonts w:ascii="仿宋" w:hAnsi="仿宋" w:eastAsia="仿宋" w:cs="仿宋"/>
          <w:sz w:val="24"/>
        </w:rPr>
        <w:t xml:space="preserve">    </w:t>
      </w:r>
      <w:r>
        <w:rPr>
          <w:rFonts w:hint="eastAsia" w:ascii="仿宋" w:hAnsi="仿宋" w:eastAsia="仿宋" w:cs="仿宋"/>
          <w:sz w:val="24"/>
        </w:rPr>
        <w:t>手机：</w:t>
      </w:r>
      <w:r>
        <w:rPr>
          <w:rFonts w:ascii="仿宋" w:hAnsi="仿宋" w:eastAsia="仿宋" w:cs="仿宋"/>
          <w:sz w:val="24"/>
        </w:rPr>
        <w:t>15073407890</w:t>
      </w:r>
    </w:p>
    <w:p>
      <w:pPr>
        <w:spacing w:line="360" w:lineRule="exact"/>
        <w:ind w:firstLine="566" w:firstLineChars="236"/>
        <w:jc w:val="left"/>
        <w:rPr>
          <w:rFonts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lang w:eastAsia="zh-CN"/>
        </w:rPr>
        <w:t>炼铁</w:t>
      </w:r>
      <w:bookmarkStart w:id="6" w:name="_GoBack"/>
      <w:bookmarkEnd w:id="6"/>
      <w:r>
        <w:rPr>
          <w:rFonts w:hint="eastAsia" w:ascii="仿宋" w:hAnsi="仿宋" w:eastAsia="仿宋" w:cs="仿宋"/>
          <w:bCs/>
          <w:sz w:val="24"/>
        </w:rPr>
        <w:t>厂</w:t>
      </w:r>
    </w:p>
    <w:p>
      <w:pPr>
        <w:spacing w:line="360" w:lineRule="exact"/>
        <w:ind w:firstLine="566" w:firstLineChars="236"/>
        <w:rPr>
          <w:rFonts w:ascii="仿宋" w:hAnsi="仿宋" w:eastAsia="仿宋" w:cs="仿宋"/>
          <w:sz w:val="24"/>
        </w:rPr>
      </w:pPr>
      <w:r>
        <w:rPr>
          <w:rFonts w:hint="eastAsia" w:ascii="仿宋" w:hAnsi="仿宋" w:eastAsia="仿宋" w:cs="仿宋"/>
          <w:sz w:val="24"/>
        </w:rPr>
        <w:t>招标联系人：</w:t>
      </w:r>
      <w:r>
        <w:rPr>
          <w:rFonts w:ascii="仿宋" w:hAnsi="仿宋" w:eastAsia="仿宋" w:cs="仿宋"/>
          <w:sz w:val="24"/>
        </w:rPr>
        <w:t xml:space="preserve"> </w:t>
      </w:r>
      <w:r>
        <w:rPr>
          <w:rFonts w:hint="eastAsia" w:ascii="仿宋" w:hAnsi="仿宋" w:eastAsia="仿宋" w:cs="仿宋"/>
          <w:sz w:val="24"/>
        </w:rPr>
        <w:t>洪先生</w:t>
      </w:r>
    </w:p>
    <w:p>
      <w:pPr>
        <w:spacing w:line="360" w:lineRule="exact"/>
        <w:ind w:firstLine="566" w:firstLineChars="236"/>
        <w:rPr>
          <w:rFonts w:ascii="仿宋" w:hAnsi="仿宋" w:eastAsia="仿宋" w:cs="仿宋"/>
          <w:sz w:val="24"/>
        </w:rPr>
      </w:pPr>
      <w:r>
        <w:rPr>
          <w:rFonts w:hint="eastAsia" w:ascii="仿宋" w:hAnsi="仿宋" w:eastAsia="仿宋" w:cs="仿宋"/>
          <w:sz w:val="24"/>
        </w:rPr>
        <w:t>电话：（</w:t>
      </w:r>
      <w:r>
        <w:rPr>
          <w:rFonts w:ascii="仿宋" w:hAnsi="仿宋" w:eastAsia="仿宋" w:cs="仿宋"/>
          <w:sz w:val="24"/>
        </w:rPr>
        <w:t>0734</w:t>
      </w:r>
      <w:r>
        <w:rPr>
          <w:rFonts w:hint="eastAsia" w:ascii="仿宋" w:hAnsi="仿宋" w:eastAsia="仿宋" w:cs="仿宋"/>
          <w:sz w:val="24"/>
        </w:rPr>
        <w:t>）</w:t>
      </w:r>
      <w:r>
        <w:rPr>
          <w:rFonts w:ascii="仿宋" w:hAnsi="仿宋" w:eastAsia="仿宋" w:cs="仿宋"/>
          <w:sz w:val="24"/>
        </w:rPr>
        <w:t xml:space="preserve">8872579    </w:t>
      </w:r>
      <w:r>
        <w:rPr>
          <w:rFonts w:hint="eastAsia" w:ascii="仿宋" w:hAnsi="仿宋" w:eastAsia="仿宋" w:cs="仿宋"/>
          <w:sz w:val="24"/>
        </w:rPr>
        <w:t>手机：</w:t>
      </w:r>
      <w:r>
        <w:rPr>
          <w:rFonts w:ascii="仿宋" w:hAnsi="仿宋" w:eastAsia="仿宋" w:cs="仿宋"/>
          <w:sz w:val="24"/>
        </w:rPr>
        <w:t>15616678886</w:t>
      </w:r>
    </w:p>
    <w:p>
      <w:pPr>
        <w:ind w:firstLine="566" w:firstLineChars="236"/>
        <w:jc w:val="left"/>
        <w:rPr>
          <w:rFonts w:ascii="仿宋" w:hAnsi="仿宋" w:eastAsia="仿宋" w:cs="仿宋"/>
          <w:b/>
          <w:bCs/>
          <w:sz w:val="24"/>
        </w:rPr>
      </w:pPr>
      <w:r>
        <w:rPr>
          <w:rFonts w:hint="eastAsia" w:ascii="仿宋" w:hAnsi="仿宋" w:eastAsia="仿宋" w:cs="仿宋"/>
          <w:sz w:val="24"/>
        </w:rPr>
        <w:t>传真：（</w:t>
      </w:r>
      <w:r>
        <w:rPr>
          <w:rFonts w:ascii="仿宋" w:hAnsi="仿宋" w:eastAsia="仿宋" w:cs="仿宋"/>
          <w:sz w:val="24"/>
        </w:rPr>
        <w:t>0734</w:t>
      </w:r>
      <w:r>
        <w:rPr>
          <w:rFonts w:hint="eastAsia" w:ascii="仿宋" w:hAnsi="仿宋" w:eastAsia="仿宋" w:cs="仿宋"/>
          <w:sz w:val="24"/>
        </w:rPr>
        <w:t>）</w:t>
      </w:r>
      <w:r>
        <w:rPr>
          <w:rFonts w:ascii="仿宋" w:hAnsi="仿宋" w:eastAsia="仿宋" w:cs="仿宋"/>
          <w:sz w:val="24"/>
        </w:rPr>
        <w:t xml:space="preserve">8873841           Email: </w:t>
      </w:r>
      <w:r>
        <w:fldChar w:fldCharType="begin"/>
      </w:r>
      <w:r>
        <w:instrText xml:space="preserve"> HYPERLINK "mailto:hgzhbb@yahoo.com.cn" </w:instrText>
      </w:r>
      <w:r>
        <w:fldChar w:fldCharType="separate"/>
      </w:r>
      <w:r>
        <w:rPr>
          <w:rStyle w:val="43"/>
          <w:rFonts w:ascii="仿宋" w:hAnsi="仿宋" w:eastAsia="仿宋" w:cs="仿宋"/>
          <w:color w:val="auto"/>
          <w:sz w:val="24"/>
        </w:rPr>
        <w:t>hgzhbb@</w:t>
      </w:r>
      <w:r>
        <w:rPr>
          <w:rStyle w:val="43"/>
          <w:rFonts w:ascii="仿宋" w:hAnsi="仿宋" w:eastAsia="仿宋" w:cs="仿宋"/>
          <w:b/>
          <w:bCs/>
          <w:color w:val="auto"/>
          <w:sz w:val="24"/>
        </w:rPr>
        <w:t>163.com</w:t>
      </w:r>
      <w:r>
        <w:rPr>
          <w:rStyle w:val="43"/>
          <w:rFonts w:ascii="仿宋" w:hAnsi="仿宋" w:eastAsia="仿宋" w:cs="仿宋"/>
          <w:b/>
          <w:bCs/>
          <w:color w:val="auto"/>
          <w:sz w:val="24"/>
        </w:rPr>
        <w:fldChar w:fldCharType="end"/>
      </w:r>
    </w:p>
    <w:p>
      <w:pPr>
        <w:spacing w:line="360" w:lineRule="exact"/>
        <w:ind w:firstLine="566" w:firstLineChars="236"/>
        <w:jc w:val="left"/>
        <w:rPr>
          <w:rFonts w:ascii="仿宋" w:hAnsi="仿宋" w:eastAsia="仿宋" w:cs="仿宋"/>
          <w:sz w:val="24"/>
        </w:rPr>
      </w:pPr>
      <w:r>
        <w:rPr>
          <w:rFonts w:hint="eastAsia" w:ascii="仿宋" w:hAnsi="仿宋" w:eastAsia="仿宋" w:cs="仿宋"/>
          <w:sz w:val="24"/>
        </w:rPr>
        <w:t>详细地址：衡阳华菱钢管有限公司企业管理和人力资源部</w:t>
      </w:r>
    </w:p>
    <w:p>
      <w:pPr>
        <w:snapToGrid w:val="0"/>
        <w:spacing w:line="400" w:lineRule="exact"/>
        <w:rPr>
          <w:rFonts w:ascii="仿宋" w:hAnsi="仿宋" w:eastAsia="仿宋"/>
          <w:sz w:val="24"/>
        </w:rPr>
      </w:pPr>
    </w:p>
    <w:sectPr>
      <w:footerReference r:id="rId3" w:type="default"/>
      <w:pgSz w:w="11906" w:h="16838"/>
      <w:pgMar w:top="1418" w:right="1304" w:bottom="1418" w:left="130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falt">
    <w:altName w:val="PMingLiU"/>
    <w:panose1 w:val="00000000000000000000"/>
    <w:charset w:val="88"/>
    <w:family w:val="roman"/>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2049" o:spt="202" type="#_x0000_t202" style="position:absolute;left:0pt;height:13.6pt;width:10.55pt;mso-position-horizontal:center;mso-position-horizontal-relative:margin;mso-position-vertical:top;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1</w:t>
                </w:r>
                <w:r>
                  <w:rPr>
                    <w:rStyle w:val="41"/>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64E"/>
    <w:rsid w:val="00000B77"/>
    <w:rsid w:val="00001F87"/>
    <w:rsid w:val="00001FC6"/>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A7"/>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05DC"/>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126"/>
    <w:rsid w:val="002526F3"/>
    <w:rsid w:val="00256713"/>
    <w:rsid w:val="00257C8C"/>
    <w:rsid w:val="00261966"/>
    <w:rsid w:val="002619BF"/>
    <w:rsid w:val="00262713"/>
    <w:rsid w:val="00263BB4"/>
    <w:rsid w:val="0026404D"/>
    <w:rsid w:val="00264832"/>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024B"/>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B86"/>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0753F"/>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031"/>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28E6"/>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2FBA"/>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2894"/>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688"/>
    <w:rsid w:val="006D485E"/>
    <w:rsid w:val="006D5486"/>
    <w:rsid w:val="006D5604"/>
    <w:rsid w:val="006D5C35"/>
    <w:rsid w:val="006D6E9F"/>
    <w:rsid w:val="006E00A3"/>
    <w:rsid w:val="006E3701"/>
    <w:rsid w:val="006E3C6A"/>
    <w:rsid w:val="006E400F"/>
    <w:rsid w:val="006E5361"/>
    <w:rsid w:val="006E5F25"/>
    <w:rsid w:val="006E608A"/>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79F4"/>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1D29"/>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AD2"/>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2F30"/>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6B12"/>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5A01"/>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AF7D21"/>
    <w:rsid w:val="00B016CB"/>
    <w:rsid w:val="00B03510"/>
    <w:rsid w:val="00B03590"/>
    <w:rsid w:val="00B0503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4FE0"/>
    <w:rsid w:val="00D05EC5"/>
    <w:rsid w:val="00D0707F"/>
    <w:rsid w:val="00D074F9"/>
    <w:rsid w:val="00D12547"/>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C9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4B33"/>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E2E"/>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4DE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8A974B2"/>
    <w:rsid w:val="0CD05ED7"/>
    <w:rsid w:val="0E7F67B5"/>
    <w:rsid w:val="12BF6B65"/>
    <w:rsid w:val="1441159B"/>
    <w:rsid w:val="30B5736D"/>
    <w:rsid w:val="32822ACC"/>
    <w:rsid w:val="34134919"/>
    <w:rsid w:val="36C43945"/>
    <w:rsid w:val="3A497082"/>
    <w:rsid w:val="3AF11068"/>
    <w:rsid w:val="3C324331"/>
    <w:rsid w:val="4CB5355C"/>
    <w:rsid w:val="4CD76635"/>
    <w:rsid w:val="4F8C3D25"/>
    <w:rsid w:val="712852B4"/>
    <w:rsid w:val="74AC05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unhideWhenUsed="0" w:uiPriority="99" w:semiHidden="0" w:name="Body Text Indent 2"/>
    <w:lsdException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nhideWhenUsed="0" w:uiPriority="99" w:semiHidden="0"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iPriority w:val="99"/>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iPriority w:val="99"/>
    <w:pPr>
      <w:ind w:left="2520" w:leftChars="1200"/>
    </w:pPr>
    <w:rPr>
      <w:rFonts w:ascii="Calibri" w:hAnsi="Calibri"/>
      <w:szCs w:val="22"/>
    </w:rPr>
  </w:style>
  <w:style w:type="paragraph" w:styleId="12">
    <w:name w:val="Normal Indent"/>
    <w:basedOn w:val="1"/>
    <w:uiPriority w:val="99"/>
    <w:pPr>
      <w:ind w:firstLine="420" w:firstLineChars="200"/>
    </w:pPr>
  </w:style>
  <w:style w:type="paragraph" w:styleId="13">
    <w:name w:val="Document Map"/>
    <w:basedOn w:val="1"/>
    <w:link w:val="54"/>
    <w:uiPriority w:val="99"/>
    <w:pPr>
      <w:shd w:val="clear" w:color="auto" w:fill="000080"/>
    </w:pPr>
  </w:style>
  <w:style w:type="paragraph" w:styleId="14">
    <w:name w:val="annotation text"/>
    <w:basedOn w:val="1"/>
    <w:link w:val="55"/>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uiPriority w:val="99"/>
    <w:pPr>
      <w:spacing w:line="570" w:lineRule="exact"/>
      <w:ind w:firstLine="200" w:firstLineChars="200"/>
    </w:pPr>
    <w:rPr>
      <w:spacing w:val="-4"/>
    </w:rPr>
  </w:style>
  <w:style w:type="paragraph" w:styleId="17">
    <w:name w:val="toc 5"/>
    <w:basedOn w:val="1"/>
    <w:next w:val="1"/>
    <w:uiPriority w:val="99"/>
    <w:pPr>
      <w:ind w:left="1680" w:leftChars="800"/>
    </w:pPr>
    <w:rPr>
      <w:rFonts w:ascii="Calibri" w:hAnsi="Calibri"/>
      <w:szCs w:val="22"/>
    </w:rPr>
  </w:style>
  <w:style w:type="paragraph" w:styleId="18">
    <w:name w:val="toc 3"/>
    <w:basedOn w:val="1"/>
    <w:next w:val="1"/>
    <w:uiPriority w:val="99"/>
    <w:pPr>
      <w:ind w:left="840" w:leftChars="400"/>
    </w:pPr>
  </w:style>
  <w:style w:type="paragraph" w:styleId="19">
    <w:name w:val="Plain Text"/>
    <w:basedOn w:val="1"/>
    <w:link w:val="58"/>
    <w:uiPriority w:val="99"/>
    <w:rPr>
      <w:rFonts w:ascii="宋体" w:hAnsi="Courier New" w:eastAsia="仿宋_GB2312"/>
      <w:sz w:val="32"/>
    </w:rPr>
  </w:style>
  <w:style w:type="paragraph" w:styleId="20">
    <w:name w:val="toc 8"/>
    <w:basedOn w:val="1"/>
    <w:next w:val="1"/>
    <w:uiPriority w:val="99"/>
    <w:pPr>
      <w:ind w:left="2940" w:leftChars="1400"/>
    </w:pPr>
    <w:rPr>
      <w:rFonts w:ascii="Calibri" w:hAnsi="Calibri"/>
      <w:szCs w:val="22"/>
    </w:rPr>
  </w:style>
  <w:style w:type="paragraph" w:styleId="21">
    <w:name w:val="Date"/>
    <w:basedOn w:val="1"/>
    <w:next w:val="1"/>
    <w:link w:val="59"/>
    <w:uiPriority w:val="99"/>
    <w:pPr>
      <w:ind w:left="100" w:leftChars="2500"/>
    </w:pPr>
  </w:style>
  <w:style w:type="paragraph" w:styleId="22">
    <w:name w:val="Body Text Indent 2"/>
    <w:basedOn w:val="1"/>
    <w:link w:val="60"/>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uiPriority w:val="99"/>
    <w:rPr>
      <w:sz w:val="18"/>
      <w:szCs w:val="18"/>
    </w:rPr>
  </w:style>
  <w:style w:type="paragraph" w:styleId="24">
    <w:name w:val="footer"/>
    <w:basedOn w:val="1"/>
    <w:link w:val="62"/>
    <w:uiPriority w:val="99"/>
    <w:pPr>
      <w:tabs>
        <w:tab w:val="center" w:pos="4153"/>
        <w:tab w:val="right" w:pos="8306"/>
      </w:tabs>
      <w:snapToGrid w:val="0"/>
      <w:jc w:val="left"/>
    </w:pPr>
    <w:rPr>
      <w:sz w:val="18"/>
      <w:szCs w:val="18"/>
    </w:rPr>
  </w:style>
  <w:style w:type="paragraph" w:styleId="25">
    <w:name w:val="header"/>
    <w:basedOn w:val="1"/>
    <w:link w:val="63"/>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99"/>
  </w:style>
  <w:style w:type="paragraph" w:styleId="27">
    <w:name w:val="toc 4"/>
    <w:basedOn w:val="1"/>
    <w:next w:val="1"/>
    <w:uiPriority w:val="99"/>
    <w:pPr>
      <w:ind w:left="1260" w:leftChars="600"/>
    </w:pPr>
  </w:style>
  <w:style w:type="paragraph" w:styleId="28">
    <w:name w:val="toc 6"/>
    <w:basedOn w:val="1"/>
    <w:next w:val="1"/>
    <w:uiPriority w:val="99"/>
    <w:pPr>
      <w:ind w:left="2100" w:leftChars="1000"/>
    </w:pPr>
    <w:rPr>
      <w:rFonts w:ascii="Calibri" w:hAnsi="Calibri"/>
      <w:szCs w:val="22"/>
    </w:rPr>
  </w:style>
  <w:style w:type="paragraph" w:styleId="29">
    <w:name w:val="Body Text Indent 3"/>
    <w:basedOn w:val="1"/>
    <w:link w:val="64"/>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uiPriority w:val="99"/>
    <w:pPr>
      <w:ind w:left="3360" w:leftChars="1600"/>
    </w:pPr>
    <w:rPr>
      <w:rFonts w:ascii="Calibri" w:hAnsi="Calibri"/>
      <w:szCs w:val="22"/>
    </w:rPr>
  </w:style>
  <w:style w:type="paragraph" w:styleId="32">
    <w:name w:val="Body Text 2"/>
    <w:basedOn w:val="1"/>
    <w:link w:val="65"/>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locked/>
    <w:uiPriority w:val="99"/>
    <w:rPr>
      <w:rFonts w:ascii="Cambria" w:hAnsi="Cambria" w:cs="Times New Roman"/>
      <w:b/>
      <w:bCs/>
      <w:kern w:val="32"/>
      <w:sz w:val="32"/>
      <w:szCs w:val="32"/>
    </w:rPr>
  </w:style>
  <w:style w:type="character" w:customStyle="1" w:styleId="46">
    <w:name w:val="Heading 2 Char"/>
    <w:basedOn w:val="39"/>
    <w:link w:val="3"/>
    <w:locked/>
    <w:uiPriority w:val="99"/>
    <w:rPr>
      <w:rFonts w:ascii="Cambria" w:hAnsi="Cambria" w:eastAsia="宋体" w:cs="Times New Roman"/>
      <w:b/>
      <w:bCs/>
      <w:kern w:val="2"/>
      <w:sz w:val="32"/>
      <w:szCs w:val="32"/>
    </w:rPr>
  </w:style>
  <w:style w:type="character" w:customStyle="1" w:styleId="47">
    <w:name w:val="Heading 3 Char"/>
    <w:basedOn w:val="39"/>
    <w:link w:val="4"/>
    <w:locked/>
    <w:uiPriority w:val="99"/>
    <w:rPr>
      <w:rFonts w:cs="Times New Roman"/>
      <w:b/>
      <w:bCs/>
      <w:sz w:val="24"/>
      <w:szCs w:val="24"/>
    </w:rPr>
  </w:style>
  <w:style w:type="character" w:customStyle="1" w:styleId="48">
    <w:name w:val="Heading 4 Char"/>
    <w:basedOn w:val="39"/>
    <w:link w:val="5"/>
    <w:locked/>
    <w:uiPriority w:val="99"/>
    <w:rPr>
      <w:rFonts w:ascii="Arial" w:hAnsi="Arial" w:cs="Times New Roman"/>
      <w:b/>
      <w:bCs/>
      <w:kern w:val="2"/>
      <w:sz w:val="28"/>
      <w:szCs w:val="28"/>
    </w:rPr>
  </w:style>
  <w:style w:type="character" w:customStyle="1" w:styleId="49">
    <w:name w:val="Heading 5 Char"/>
    <w:basedOn w:val="39"/>
    <w:link w:val="6"/>
    <w:locked/>
    <w:uiPriority w:val="99"/>
    <w:rPr>
      <w:rFonts w:cs="Times New Roman"/>
      <w:b/>
      <w:bCs/>
      <w:kern w:val="2"/>
      <w:sz w:val="28"/>
      <w:szCs w:val="28"/>
    </w:rPr>
  </w:style>
  <w:style w:type="character" w:customStyle="1" w:styleId="50">
    <w:name w:val="Heading 6 Char"/>
    <w:basedOn w:val="39"/>
    <w:link w:val="7"/>
    <w:locked/>
    <w:uiPriority w:val="99"/>
    <w:rPr>
      <w:rFonts w:ascii="Arial" w:hAnsi="Arial" w:eastAsia="黑体" w:cs="Times New Roman"/>
      <w:b/>
      <w:bCs/>
      <w:sz w:val="24"/>
      <w:szCs w:val="24"/>
    </w:rPr>
  </w:style>
  <w:style w:type="character" w:customStyle="1" w:styleId="51">
    <w:name w:val="Heading 7 Char"/>
    <w:basedOn w:val="39"/>
    <w:link w:val="8"/>
    <w:locked/>
    <w:uiPriority w:val="99"/>
    <w:rPr>
      <w:rFonts w:cs="Times New Roman"/>
      <w:b/>
      <w:bCs/>
      <w:sz w:val="24"/>
      <w:szCs w:val="24"/>
    </w:rPr>
  </w:style>
  <w:style w:type="character" w:customStyle="1" w:styleId="52">
    <w:name w:val="Heading 8 Char"/>
    <w:basedOn w:val="39"/>
    <w:link w:val="9"/>
    <w:locked/>
    <w:uiPriority w:val="99"/>
    <w:rPr>
      <w:rFonts w:ascii="Arial" w:hAnsi="Arial" w:eastAsia="黑体" w:cs="Times New Roman"/>
      <w:sz w:val="24"/>
      <w:szCs w:val="24"/>
    </w:rPr>
  </w:style>
  <w:style w:type="character" w:customStyle="1" w:styleId="53">
    <w:name w:val="Heading 9 Char"/>
    <w:basedOn w:val="39"/>
    <w:link w:val="10"/>
    <w:locked/>
    <w:uiPriority w:val="99"/>
    <w:rPr>
      <w:rFonts w:ascii="Arial" w:hAnsi="Arial" w:eastAsia="黑体" w:cs="Times New Roman"/>
      <w:sz w:val="21"/>
      <w:szCs w:val="21"/>
    </w:rPr>
  </w:style>
  <w:style w:type="character" w:customStyle="1" w:styleId="54">
    <w:name w:val="Document Map Char"/>
    <w:basedOn w:val="39"/>
    <w:link w:val="13"/>
    <w:semiHidden/>
    <w:locked/>
    <w:uiPriority w:val="99"/>
    <w:rPr>
      <w:rFonts w:cs="Times New Roman"/>
      <w:sz w:val="2"/>
    </w:rPr>
  </w:style>
  <w:style w:type="character" w:customStyle="1" w:styleId="55">
    <w:name w:val="Comment Text Char"/>
    <w:basedOn w:val="39"/>
    <w:link w:val="14"/>
    <w:locked/>
    <w:uiPriority w:val="99"/>
    <w:rPr>
      <w:rFonts w:cs="Times New Roman"/>
      <w:kern w:val="2"/>
      <w:sz w:val="24"/>
      <w:szCs w:val="24"/>
    </w:rPr>
  </w:style>
  <w:style w:type="character" w:customStyle="1" w:styleId="56">
    <w:name w:val="Body Text Char"/>
    <w:basedOn w:val="39"/>
    <w:link w:val="15"/>
    <w:locked/>
    <w:uiPriority w:val="99"/>
    <w:rPr>
      <w:rFonts w:cs="Times New Roman"/>
      <w:kern w:val="2"/>
      <w:sz w:val="24"/>
      <w:szCs w:val="24"/>
    </w:rPr>
  </w:style>
  <w:style w:type="character" w:customStyle="1" w:styleId="57">
    <w:name w:val="Body Text Indent Char"/>
    <w:basedOn w:val="39"/>
    <w:link w:val="16"/>
    <w:locked/>
    <w:uiPriority w:val="99"/>
    <w:rPr>
      <w:rFonts w:cs="Times New Roman"/>
      <w:spacing w:val="-4"/>
      <w:kern w:val="2"/>
      <w:sz w:val="24"/>
      <w:szCs w:val="24"/>
    </w:rPr>
  </w:style>
  <w:style w:type="character" w:customStyle="1" w:styleId="58">
    <w:name w:val="Plain Text Char"/>
    <w:basedOn w:val="39"/>
    <w:link w:val="19"/>
    <w:locked/>
    <w:uiPriority w:val="99"/>
    <w:rPr>
      <w:rFonts w:ascii="宋体" w:hAnsi="Courier New" w:eastAsia="仿宋_GB2312" w:cs="Times New Roman"/>
      <w:kern w:val="2"/>
      <w:sz w:val="24"/>
      <w:szCs w:val="24"/>
    </w:rPr>
  </w:style>
  <w:style w:type="character" w:customStyle="1" w:styleId="59">
    <w:name w:val="Date Char"/>
    <w:basedOn w:val="39"/>
    <w:link w:val="21"/>
    <w:locked/>
    <w:uiPriority w:val="99"/>
    <w:rPr>
      <w:rFonts w:cs="Times New Roman"/>
      <w:kern w:val="2"/>
      <w:sz w:val="24"/>
      <w:szCs w:val="24"/>
    </w:rPr>
  </w:style>
  <w:style w:type="character" w:customStyle="1" w:styleId="60">
    <w:name w:val="Body Text Indent 2 Char"/>
    <w:basedOn w:val="39"/>
    <w:link w:val="22"/>
    <w:semiHidden/>
    <w:locked/>
    <w:uiPriority w:val="99"/>
    <w:rPr>
      <w:rFonts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locked/>
    <w:uiPriority w:val="99"/>
    <w:rPr>
      <w:rFonts w:cs="Times New Roman"/>
      <w:kern w:val="2"/>
      <w:sz w:val="18"/>
      <w:szCs w:val="18"/>
    </w:rPr>
  </w:style>
  <w:style w:type="character" w:customStyle="1" w:styleId="63">
    <w:name w:val="Header Char"/>
    <w:basedOn w:val="39"/>
    <w:link w:val="25"/>
    <w:locked/>
    <w:uiPriority w:val="99"/>
    <w:rPr>
      <w:rFonts w:cs="Times New Roman"/>
      <w:kern w:val="2"/>
      <w:sz w:val="18"/>
      <w:szCs w:val="18"/>
    </w:rPr>
  </w:style>
  <w:style w:type="character" w:customStyle="1" w:styleId="64">
    <w:name w:val="Body Text Indent 3 Char"/>
    <w:basedOn w:val="39"/>
    <w:link w:val="29"/>
    <w:locked/>
    <w:uiPriority w:val="99"/>
    <w:rPr>
      <w:rFonts w:ascii="宋体" w:hAnsi="MS Sans Serif" w:cs="Times New Roman"/>
      <w:color w:val="000000"/>
      <w:sz w:val="24"/>
    </w:rPr>
  </w:style>
  <w:style w:type="character" w:customStyle="1" w:styleId="65">
    <w:name w:val="Body Text 2 Char"/>
    <w:basedOn w:val="39"/>
    <w:link w:val="32"/>
    <w:semiHidden/>
    <w:locked/>
    <w:uiPriority w:val="99"/>
    <w:rPr>
      <w:rFonts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1"/>
    <w:basedOn w:val="2"/>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271</Words>
  <Characters>1548</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2022-02-23T12:54:35Z</dcterms:modified>
  <dc:title>第二章  投标人须知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