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月炼钢厂喷吹碳粉采购项目评标工作已经结束，本项目采用经评审的最低价中标法，现将评标相关信息予以公示。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月炼钢厂喷吹碳粉采购项目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CGY22025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经评委会评审，新化县隆国石墨有限公司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和郴州鲁塘土状石墨有限公司分别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  <w:lang w:eastAsia="zh-CN"/>
        </w:rPr>
        <w:t>第一、第二</w:t>
      </w:r>
      <w:r>
        <w:rPr>
          <w:rFonts w:hint="eastAsia" w:ascii="仿宋" w:hAnsi="仿宋" w:eastAsia="仿宋"/>
          <w:sz w:val="28"/>
          <w:szCs w:val="28"/>
        </w:rPr>
        <w:t>中标候选人。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D8E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2299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617C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5F3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EAD0443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380</Characters>
  <Lines>1</Lines>
  <Paragraphs>1</Paragraphs>
  <TotalTime>746</TotalTime>
  <ScaleCrop>false</ScaleCrop>
  <LinksUpToDate>false</LinksUpToDate>
  <CharactersWithSpaces>439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2022-01-06T03:39:00Z</cp:lastPrinted>
  <dcterms:modified xsi:type="dcterms:W3CDTF">2022-04-10T01:05:15Z</dcterms:modified>
  <dc:title>第二章  投标人须知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87E239E3EEA9433981B88AB96C80FEF6</vt:lpwstr>
  </property>
</Properties>
</file>