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7-9</w:t>
      </w:r>
      <w:r>
        <w:rPr>
          <w:rFonts w:hint="eastAsia" w:ascii="仿宋" w:hAnsi="仿宋" w:eastAsia="仿宋"/>
          <w:sz w:val="28"/>
          <w:szCs w:val="28"/>
        </w:rPr>
        <w:t>月炼钢厂喷吹碳粉采购项目评标工作已经结束，本项目采用经评审的最低价中标法，现将评标相关信息予以公示。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7-9</w:t>
      </w:r>
      <w:r>
        <w:rPr>
          <w:rFonts w:hint="eastAsia" w:ascii="仿宋" w:hAnsi="仿宋" w:eastAsia="仿宋"/>
          <w:sz w:val="28"/>
          <w:szCs w:val="28"/>
        </w:rPr>
        <w:t>月炼钢厂喷吹碳粉采购项目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CGY22037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郴州鲁塘土状石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墨有限公司和</w:t>
      </w:r>
      <w:r>
        <w:rPr>
          <w:rFonts w:hint="eastAsia" w:ascii="仿宋" w:hAnsi="仿宋" w:eastAsia="仿宋"/>
          <w:sz w:val="28"/>
          <w:szCs w:val="28"/>
        </w:rPr>
        <w:t>新化县隆国石墨有限公司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分别为第一、第二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D8E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2299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617C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5F3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ECE61D7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380</Characters>
  <Lines>1</Lines>
  <Paragraphs>1</Paragraphs>
  <TotalTime>747</TotalTime>
  <ScaleCrop>false</ScaleCrop>
  <LinksUpToDate>false</LinksUpToDate>
  <CharactersWithSpaces>439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2022-01-06T03:39:00Z</cp:lastPrinted>
  <dcterms:modified xsi:type="dcterms:W3CDTF">2022-06-20T09:24:30Z</dcterms:modified>
  <dc:title>第二章  投标人须知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E6334E91D9A942DCA6FDDB4ED974AE79</vt:lpwstr>
  </property>
</Properties>
</file>