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numPr>
          <w:ilvl w:val="0"/>
          <w:numId w:val="0"/>
        </w:numPr>
        <w:ind w:leftChars="0"/>
        <w:jc w:val="center"/>
        <w:rPr>
          <w:rFonts w:hint="eastAsia" w:ascii="仿宋" w:hAnsi="仿宋" w:eastAsia="仿宋" w:cs="仿宋"/>
          <w:sz w:val="32"/>
          <w:szCs w:val="32"/>
        </w:rPr>
      </w:pPr>
      <w:bookmarkStart w:id="0" w:name="_Toc92892459"/>
      <w:r>
        <w:rPr>
          <w:rFonts w:hint="eastAsia" w:ascii="仿宋" w:hAnsi="仿宋" w:eastAsia="仿宋" w:cs="仿宋"/>
          <w:sz w:val="32"/>
          <w:szCs w:val="32"/>
        </w:rPr>
        <w:t>招标公告</w:t>
      </w:r>
      <w:bookmarkEnd w:id="0"/>
    </w:p>
    <w:p>
      <w:pPr>
        <w:pStyle w:val="13"/>
        <w:numPr>
          <w:ilvl w:val="0"/>
          <w:numId w:val="1"/>
        </w:numPr>
        <w:adjustRightInd w:val="0"/>
        <w:snapToGrid w:val="0"/>
        <w:spacing w:line="360" w:lineRule="exact"/>
        <w:ind w:firstLineChars="0"/>
        <w:contextualSpacing/>
        <w:rPr>
          <w:rFonts w:hint="eastAsia" w:ascii="仿宋" w:hAnsi="仿宋" w:eastAsia="仿宋" w:cs="仿宋"/>
          <w:b/>
          <w:sz w:val="24"/>
          <w:szCs w:val="24"/>
          <w:highlight w:val="none"/>
        </w:rPr>
      </w:pPr>
      <w:r>
        <w:rPr>
          <w:rFonts w:hint="eastAsia" w:ascii="仿宋" w:hAnsi="仿宋" w:eastAsia="仿宋" w:cs="仿宋"/>
          <w:b/>
          <w:sz w:val="24"/>
          <w:szCs w:val="24"/>
          <w:highlight w:val="none"/>
        </w:rPr>
        <w:t>项目情况</w:t>
      </w:r>
    </w:p>
    <w:p>
      <w:pPr>
        <w:pStyle w:val="13"/>
        <w:pageBreakBefore w:val="0"/>
        <w:numPr>
          <w:ilvl w:val="1"/>
          <w:numId w:val="1"/>
        </w:numPr>
        <w:kinsoku/>
        <w:overflowPunct/>
        <w:autoSpaceDN/>
        <w:bidi w:val="0"/>
        <w:adjustRightInd w:val="0"/>
        <w:snapToGrid w:val="0"/>
        <w:spacing w:line="420" w:lineRule="exact"/>
        <w:ind w:firstLineChars="0"/>
        <w:contextualSpacing/>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lang w:val="en-US" w:eastAsia="zh-CN"/>
        </w:rPr>
        <w:t>HGJY-G2023022</w:t>
      </w:r>
    </w:p>
    <w:p>
      <w:pPr>
        <w:pStyle w:val="13"/>
        <w:pageBreakBefore w:val="0"/>
        <w:numPr>
          <w:ilvl w:val="1"/>
          <w:numId w:val="1"/>
        </w:numPr>
        <w:kinsoku/>
        <w:overflowPunct/>
        <w:autoSpaceDN/>
        <w:bidi w:val="0"/>
        <w:adjustRightInd w:val="0"/>
        <w:snapToGrid w:val="0"/>
        <w:spacing w:line="420" w:lineRule="exact"/>
        <w:ind w:firstLineChars="0"/>
        <w:contextualSpacing/>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r>
        <w:rPr>
          <w:rFonts w:hint="eastAsia" w:ascii="仿宋" w:hAnsi="仿宋" w:eastAsia="仿宋" w:cs="仿宋"/>
          <w:bCs/>
          <w:sz w:val="24"/>
          <w:szCs w:val="24"/>
          <w:highlight w:val="none"/>
          <w:lang w:eastAsia="zh-CN"/>
        </w:rPr>
        <w:t>2023年度安</w:t>
      </w:r>
      <w:r>
        <w:rPr>
          <w:rFonts w:hint="eastAsia" w:ascii="仿宋" w:hAnsi="仿宋" w:eastAsia="仿宋" w:cs="仿宋"/>
          <w:bCs/>
          <w:sz w:val="24"/>
          <w:szCs w:val="24"/>
          <w:highlight w:val="none"/>
        </w:rPr>
        <w:t>环标示牌</w:t>
      </w:r>
      <w:r>
        <w:rPr>
          <w:rFonts w:hint="eastAsia" w:ascii="仿宋" w:hAnsi="仿宋" w:eastAsia="仿宋" w:cs="仿宋"/>
          <w:bCs/>
          <w:sz w:val="24"/>
          <w:szCs w:val="24"/>
          <w:highlight w:val="none"/>
          <w:lang w:eastAsia="zh-CN"/>
        </w:rPr>
        <w:t>类物资采购制作项目</w:t>
      </w:r>
    </w:p>
    <w:p>
      <w:pPr>
        <w:pStyle w:val="13"/>
        <w:pageBreakBefore w:val="0"/>
        <w:numPr>
          <w:ilvl w:val="1"/>
          <w:numId w:val="1"/>
        </w:numPr>
        <w:kinsoku/>
        <w:overflowPunct/>
        <w:autoSpaceDN/>
        <w:bidi w:val="0"/>
        <w:adjustRightInd w:val="0"/>
        <w:snapToGrid w:val="0"/>
        <w:spacing w:line="420" w:lineRule="exact"/>
        <w:ind w:firstLineChars="0"/>
        <w:contextualSpacing/>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项目单位：衡阳华菱</w:t>
      </w:r>
      <w:r>
        <w:rPr>
          <w:rFonts w:hint="eastAsia" w:ascii="仿宋" w:hAnsi="仿宋" w:eastAsia="仿宋" w:cs="仿宋"/>
          <w:sz w:val="24"/>
          <w:szCs w:val="24"/>
          <w:highlight w:val="none"/>
          <w:lang w:eastAsia="zh-CN"/>
        </w:rPr>
        <w:t>钢管（连轧管）</w:t>
      </w:r>
      <w:r>
        <w:rPr>
          <w:rFonts w:hint="eastAsia" w:ascii="仿宋" w:hAnsi="仿宋" w:eastAsia="仿宋" w:cs="仿宋"/>
          <w:sz w:val="24"/>
          <w:szCs w:val="24"/>
          <w:highlight w:val="none"/>
        </w:rPr>
        <w:t>有限公司</w:t>
      </w:r>
    </w:p>
    <w:p>
      <w:pPr>
        <w:pStyle w:val="13"/>
        <w:pageBreakBefore w:val="0"/>
        <w:numPr>
          <w:ilvl w:val="1"/>
          <w:numId w:val="1"/>
        </w:numPr>
        <w:kinsoku/>
        <w:overflowPunct/>
        <w:autoSpaceDN/>
        <w:bidi w:val="0"/>
        <w:adjustRightInd w:val="0"/>
        <w:snapToGrid w:val="0"/>
        <w:spacing w:line="420" w:lineRule="exact"/>
        <w:ind w:firstLineChars="0"/>
        <w:contextualSpacing/>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货物名称、数量、</w:t>
      </w:r>
      <w:r>
        <w:rPr>
          <w:rFonts w:hint="eastAsia" w:ascii="仿宋" w:hAnsi="仿宋" w:eastAsia="仿宋" w:cs="仿宋"/>
          <w:sz w:val="24"/>
          <w:szCs w:val="24"/>
          <w:highlight w:val="none"/>
          <w:lang w:eastAsia="zh-CN"/>
        </w:rPr>
        <w:t>合同类型、</w:t>
      </w:r>
      <w:r>
        <w:rPr>
          <w:rFonts w:hint="eastAsia" w:ascii="仿宋" w:hAnsi="仿宋" w:eastAsia="仿宋" w:cs="仿宋"/>
          <w:sz w:val="24"/>
          <w:szCs w:val="24"/>
          <w:highlight w:val="none"/>
        </w:rPr>
        <w:t>交货时间及交货地点：</w:t>
      </w:r>
    </w:p>
    <w:p>
      <w:pPr>
        <w:pStyle w:val="13"/>
        <w:pageBreakBefore w:val="0"/>
        <w:kinsoku/>
        <w:overflowPunct/>
        <w:autoSpaceDN/>
        <w:bidi w:val="0"/>
        <w:adjustRightInd w:val="0"/>
        <w:snapToGrid w:val="0"/>
        <w:spacing w:line="420" w:lineRule="exact"/>
        <w:ind w:left="851"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货物名称：</w:t>
      </w:r>
      <w:r>
        <w:rPr>
          <w:rFonts w:hint="eastAsia" w:ascii="仿宋" w:hAnsi="仿宋" w:eastAsia="仿宋" w:cs="仿宋"/>
          <w:bCs/>
          <w:sz w:val="24"/>
          <w:szCs w:val="24"/>
          <w:highlight w:val="none"/>
        </w:rPr>
        <w:t>安环标示牌类物资</w:t>
      </w:r>
    </w:p>
    <w:p>
      <w:pPr>
        <w:pStyle w:val="13"/>
        <w:pageBreakBefore w:val="0"/>
        <w:kinsoku/>
        <w:overflowPunct/>
        <w:autoSpaceDN/>
        <w:bidi w:val="0"/>
        <w:adjustRightInd w:val="0"/>
        <w:snapToGrid w:val="0"/>
        <w:spacing w:line="420" w:lineRule="exact"/>
        <w:ind w:left="851"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数    量：</w:t>
      </w:r>
      <w:r>
        <w:rPr>
          <w:rFonts w:hint="eastAsia" w:ascii="仿宋" w:hAnsi="仿宋" w:eastAsia="仿宋" w:cs="仿宋"/>
          <w:sz w:val="24"/>
          <w:szCs w:val="24"/>
          <w:highlight w:val="none"/>
          <w:lang w:eastAsia="zh-CN"/>
        </w:rPr>
        <w:t>实际数量</w:t>
      </w:r>
      <w:r>
        <w:rPr>
          <w:rFonts w:hint="eastAsia" w:ascii="仿宋" w:hAnsi="仿宋" w:eastAsia="仿宋" w:cs="仿宋"/>
          <w:sz w:val="24"/>
          <w:szCs w:val="24"/>
          <w:highlight w:val="none"/>
        </w:rPr>
        <w:t>以各分厂计划为准,约定期限内到货</w:t>
      </w:r>
    </w:p>
    <w:p>
      <w:pPr>
        <w:pStyle w:val="13"/>
        <w:pageBreakBefore w:val="0"/>
        <w:kinsoku/>
        <w:overflowPunct/>
        <w:autoSpaceDN/>
        <w:bidi w:val="0"/>
        <w:adjustRightInd w:val="0"/>
        <w:snapToGrid w:val="0"/>
        <w:spacing w:line="420" w:lineRule="exact"/>
        <w:ind w:left="851" w:firstLine="0" w:firstLineChars="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合同类型：固定单价合同</w:t>
      </w:r>
    </w:p>
    <w:p>
      <w:pPr>
        <w:pStyle w:val="13"/>
        <w:pageBreakBefore w:val="0"/>
        <w:kinsoku/>
        <w:overflowPunct/>
        <w:autoSpaceDN/>
        <w:bidi w:val="0"/>
        <w:adjustRightInd w:val="0"/>
        <w:snapToGrid w:val="0"/>
        <w:spacing w:line="420" w:lineRule="exact"/>
        <w:ind w:left="851"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交</w:t>
      </w:r>
      <w:r>
        <w:rPr>
          <w:rFonts w:hint="eastAsia" w:ascii="仿宋" w:hAnsi="仿宋" w:eastAsia="仿宋" w:cs="仿宋"/>
          <w:sz w:val="24"/>
          <w:szCs w:val="24"/>
          <w:highlight w:val="none"/>
          <w:lang w:eastAsia="zh-CN"/>
        </w:rPr>
        <w:t>货</w:t>
      </w:r>
      <w:r>
        <w:rPr>
          <w:rFonts w:hint="eastAsia" w:ascii="仿宋" w:hAnsi="仿宋" w:eastAsia="仿宋" w:cs="仿宋"/>
          <w:sz w:val="24"/>
          <w:szCs w:val="24"/>
          <w:highlight w:val="none"/>
        </w:rPr>
        <w:t>时间：</w:t>
      </w:r>
      <w:r>
        <w:rPr>
          <w:rFonts w:hint="eastAsia" w:ascii="仿宋" w:hAnsi="仿宋" w:eastAsia="仿宋" w:cs="仿宋"/>
          <w:sz w:val="24"/>
          <w:szCs w:val="24"/>
          <w:highlight w:val="none"/>
          <w:lang w:eastAsia="zh-CN"/>
        </w:rPr>
        <w:t>2023</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4月-2024年3月</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具体交货时间按需求</w:t>
      </w:r>
      <w:r>
        <w:rPr>
          <w:rFonts w:hint="eastAsia" w:ascii="仿宋" w:hAnsi="仿宋" w:eastAsia="仿宋" w:cs="仿宋"/>
          <w:sz w:val="24"/>
          <w:szCs w:val="24"/>
          <w:highlight w:val="none"/>
        </w:rPr>
        <w:t>下</w:t>
      </w:r>
      <w:r>
        <w:rPr>
          <w:rFonts w:hint="eastAsia" w:ascii="仿宋" w:hAnsi="仿宋" w:eastAsia="仿宋" w:cs="仿宋"/>
          <w:sz w:val="24"/>
          <w:szCs w:val="24"/>
          <w:highlight w:val="none"/>
          <w:lang w:eastAsia="zh-CN"/>
        </w:rPr>
        <w:t>达</w:t>
      </w:r>
      <w:r>
        <w:rPr>
          <w:rFonts w:hint="eastAsia" w:ascii="仿宋" w:hAnsi="仿宋" w:eastAsia="仿宋" w:cs="仿宋"/>
          <w:sz w:val="24"/>
          <w:szCs w:val="24"/>
          <w:highlight w:val="none"/>
        </w:rPr>
        <w:t>计划</w:t>
      </w:r>
      <w:r>
        <w:rPr>
          <w:rFonts w:hint="eastAsia" w:ascii="仿宋" w:hAnsi="仿宋" w:eastAsia="仿宋" w:cs="仿宋"/>
          <w:sz w:val="24"/>
          <w:szCs w:val="24"/>
          <w:highlight w:val="none"/>
          <w:lang w:eastAsia="zh-CN"/>
        </w:rPr>
        <w:t>后</w:t>
      </w:r>
      <w:r>
        <w:rPr>
          <w:rFonts w:hint="eastAsia" w:ascii="仿宋" w:hAnsi="仿宋" w:eastAsia="仿宋" w:cs="仿宋"/>
          <w:sz w:val="24"/>
          <w:szCs w:val="24"/>
          <w:highlight w:val="none"/>
        </w:rPr>
        <w:t>一周以内</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xml:space="preserve">  </w:t>
      </w:r>
    </w:p>
    <w:p>
      <w:pPr>
        <w:pStyle w:val="13"/>
        <w:pageBreakBefore w:val="0"/>
        <w:kinsoku/>
        <w:overflowPunct/>
        <w:autoSpaceDN/>
        <w:bidi w:val="0"/>
        <w:adjustRightInd w:val="0"/>
        <w:snapToGrid w:val="0"/>
        <w:spacing w:line="420" w:lineRule="exact"/>
        <w:ind w:left="851"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交</w:t>
      </w:r>
      <w:r>
        <w:rPr>
          <w:rFonts w:hint="eastAsia" w:ascii="仿宋" w:hAnsi="仿宋" w:eastAsia="仿宋" w:cs="仿宋"/>
          <w:sz w:val="24"/>
          <w:szCs w:val="24"/>
          <w:highlight w:val="none"/>
          <w:lang w:eastAsia="zh-CN"/>
        </w:rPr>
        <w:t>货</w:t>
      </w:r>
      <w:r>
        <w:rPr>
          <w:rFonts w:hint="eastAsia" w:ascii="仿宋" w:hAnsi="仿宋" w:eastAsia="仿宋" w:cs="仿宋"/>
          <w:sz w:val="24"/>
          <w:szCs w:val="24"/>
          <w:highlight w:val="none"/>
        </w:rPr>
        <w:t>地点：衡阳华菱</w:t>
      </w:r>
      <w:r>
        <w:rPr>
          <w:rFonts w:hint="eastAsia" w:ascii="仿宋" w:hAnsi="仿宋" w:eastAsia="仿宋" w:cs="仿宋"/>
          <w:sz w:val="24"/>
          <w:szCs w:val="24"/>
          <w:highlight w:val="none"/>
          <w:lang w:eastAsia="zh-CN"/>
        </w:rPr>
        <w:t>钢管（连轧管）</w:t>
      </w:r>
      <w:r>
        <w:rPr>
          <w:rFonts w:hint="eastAsia" w:ascii="仿宋" w:hAnsi="仿宋" w:eastAsia="仿宋" w:cs="仿宋"/>
          <w:sz w:val="24"/>
          <w:szCs w:val="24"/>
          <w:highlight w:val="none"/>
        </w:rPr>
        <w:t>有限公司</w:t>
      </w:r>
    </w:p>
    <w:p>
      <w:pPr>
        <w:pStyle w:val="13"/>
        <w:pageBreakBefore w:val="0"/>
        <w:kinsoku/>
        <w:overflowPunct/>
        <w:autoSpaceDN/>
        <w:bidi w:val="0"/>
        <w:adjustRightInd w:val="0"/>
        <w:snapToGrid w:val="0"/>
        <w:spacing w:line="420" w:lineRule="exact"/>
        <w:ind w:left="851"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具体详细的</w:t>
      </w:r>
      <w:r>
        <w:rPr>
          <w:rFonts w:hint="eastAsia" w:ascii="仿宋" w:hAnsi="仿宋" w:eastAsia="仿宋" w:cs="仿宋"/>
          <w:sz w:val="24"/>
          <w:szCs w:val="24"/>
          <w:highlight w:val="none"/>
          <w:lang w:eastAsia="zh-CN"/>
        </w:rPr>
        <w:t>制作</w:t>
      </w:r>
      <w:r>
        <w:rPr>
          <w:rFonts w:hint="eastAsia" w:ascii="仿宋" w:hAnsi="仿宋" w:eastAsia="仿宋" w:cs="仿宋"/>
          <w:sz w:val="24"/>
          <w:szCs w:val="24"/>
          <w:highlight w:val="none"/>
        </w:rPr>
        <w:t>内容、数量详见技术要求规格书及</w:t>
      </w:r>
      <w:r>
        <w:rPr>
          <w:rFonts w:hint="eastAsia" w:ascii="仿宋" w:hAnsi="仿宋" w:eastAsia="仿宋" w:cs="仿宋"/>
          <w:sz w:val="24"/>
          <w:szCs w:val="24"/>
          <w:highlight w:val="none"/>
          <w:lang w:eastAsia="zh-CN"/>
        </w:rPr>
        <w:t>物资供货</w:t>
      </w:r>
      <w:r>
        <w:rPr>
          <w:rFonts w:hint="eastAsia" w:ascii="仿宋" w:hAnsi="仿宋" w:eastAsia="仿宋" w:cs="仿宋"/>
          <w:sz w:val="24"/>
          <w:szCs w:val="24"/>
          <w:highlight w:val="none"/>
        </w:rPr>
        <w:t>清单。在项目实施过程中，业主方保留适当调整、增减</w:t>
      </w:r>
      <w:r>
        <w:rPr>
          <w:rFonts w:hint="eastAsia" w:ascii="仿宋" w:hAnsi="仿宋" w:eastAsia="仿宋" w:cs="仿宋"/>
          <w:sz w:val="24"/>
          <w:szCs w:val="24"/>
          <w:highlight w:val="none"/>
          <w:lang w:eastAsia="zh-CN"/>
        </w:rPr>
        <w:t>物料数量</w:t>
      </w:r>
      <w:r>
        <w:rPr>
          <w:rFonts w:hint="eastAsia" w:ascii="仿宋" w:hAnsi="仿宋" w:eastAsia="仿宋" w:cs="仿宋"/>
          <w:sz w:val="24"/>
          <w:szCs w:val="24"/>
          <w:highlight w:val="none"/>
        </w:rPr>
        <w:t xml:space="preserve">的权利。 </w:t>
      </w:r>
    </w:p>
    <w:p>
      <w:pPr>
        <w:pStyle w:val="13"/>
        <w:pageBreakBefore w:val="0"/>
        <w:numPr>
          <w:ilvl w:val="0"/>
          <w:numId w:val="1"/>
        </w:numPr>
        <w:kinsoku/>
        <w:overflowPunct/>
        <w:autoSpaceDN/>
        <w:bidi w:val="0"/>
        <w:adjustRightInd w:val="0"/>
        <w:snapToGrid w:val="0"/>
        <w:spacing w:line="420" w:lineRule="exact"/>
        <w:ind w:left="17" w:hanging="17" w:firstLineChars="0"/>
        <w:contextualSpacing/>
        <w:jc w:val="left"/>
        <w:textAlignment w:val="auto"/>
        <w:rPr>
          <w:rFonts w:hint="eastAsia" w:ascii="仿宋" w:hAnsi="仿宋" w:eastAsia="仿宋" w:cs="仿宋"/>
          <w:sz w:val="24"/>
          <w:szCs w:val="24"/>
          <w:highlight w:val="none"/>
        </w:rPr>
      </w:pPr>
      <w:r>
        <w:rPr>
          <w:rFonts w:hint="eastAsia" w:ascii="仿宋" w:hAnsi="仿宋" w:eastAsia="仿宋" w:cs="仿宋"/>
          <w:b/>
          <w:sz w:val="24"/>
          <w:szCs w:val="24"/>
          <w:highlight w:val="none"/>
        </w:rPr>
        <w:t>投标</w:t>
      </w:r>
      <w:r>
        <w:rPr>
          <w:rFonts w:hint="eastAsia" w:ascii="仿宋" w:hAnsi="仿宋" w:eastAsia="仿宋" w:cs="仿宋"/>
          <w:b/>
          <w:bCs/>
          <w:color w:val="auto"/>
          <w:sz w:val="24"/>
        </w:rPr>
        <w:t>资质与合格条件的要求</w:t>
      </w:r>
      <w:r>
        <w:rPr>
          <w:rFonts w:hint="eastAsia" w:ascii="仿宋" w:hAnsi="仿宋" w:eastAsia="仿宋" w:cs="仿宋"/>
          <w:b/>
          <w:sz w:val="24"/>
          <w:szCs w:val="24"/>
          <w:highlight w:val="none"/>
        </w:rPr>
        <w:t>：：</w:t>
      </w:r>
    </w:p>
    <w:p>
      <w:pPr>
        <w:pStyle w:val="10"/>
        <w:pageBreakBefore w:val="0"/>
        <w:tabs>
          <w:tab w:val="left" w:pos="851"/>
        </w:tabs>
        <w:kinsoku/>
        <w:overflowPunct/>
        <w:autoSpaceDE w:val="0"/>
        <w:autoSpaceDN/>
        <w:bidi w:val="0"/>
        <w:adjustRightInd w:val="0"/>
        <w:snapToGrid w:val="0"/>
        <w:spacing w:line="420" w:lineRule="exact"/>
        <w:ind w:left="960" w:leftChars="457" w:firstLine="0" w:firstLineChars="0"/>
        <w:contextualSpacing/>
        <w:jc w:val="left"/>
        <w:textAlignment w:val="auto"/>
        <w:rPr>
          <w:rFonts w:hint="eastAsia" w:ascii="仿宋" w:hAnsi="仿宋" w:eastAsia="仿宋" w:cs="仿宋"/>
          <w:sz w:val="24"/>
          <w:szCs w:val="24"/>
          <w:highlight w:val="none"/>
        </w:rPr>
      </w:pPr>
      <w:r>
        <w:rPr>
          <w:rFonts w:hint="eastAsia" w:ascii="仿宋" w:hAnsi="仿宋" w:eastAsia="仿宋" w:cs="仿宋"/>
          <w:color w:val="auto"/>
          <w:sz w:val="24"/>
          <w:highlight w:val="none"/>
        </w:rPr>
        <w:t>具有中华人民共和国法人资格；公司成立时间</w:t>
      </w:r>
      <w:r>
        <w:rPr>
          <w:rFonts w:hint="eastAsia" w:ascii="仿宋" w:hAnsi="仿宋" w:eastAsia="仿宋" w:cs="仿宋"/>
          <w:color w:val="auto"/>
          <w:sz w:val="24"/>
          <w:highlight w:val="none"/>
          <w:lang w:eastAsia="zh-CN"/>
        </w:rPr>
        <w:t>三</w:t>
      </w:r>
      <w:r>
        <w:rPr>
          <w:rFonts w:hint="eastAsia" w:ascii="仿宋" w:hAnsi="仿宋" w:eastAsia="仿宋" w:cs="仿宋"/>
          <w:color w:val="auto"/>
          <w:sz w:val="24"/>
          <w:highlight w:val="none"/>
        </w:rPr>
        <w:t>年以上。投标人营业执照经营范围包含本次招标项目的标的物（以营业执照经营</w:t>
      </w:r>
      <w:r>
        <w:rPr>
          <w:rFonts w:hint="eastAsia" w:ascii="仿宋" w:hAnsi="仿宋" w:eastAsia="仿宋" w:cs="仿宋"/>
          <w:color w:val="auto"/>
          <w:sz w:val="24"/>
          <w:highlight w:val="none"/>
          <w:lang w:eastAsia="zh-CN"/>
        </w:rPr>
        <w:t>范围</w:t>
      </w:r>
      <w:r>
        <w:rPr>
          <w:rFonts w:hint="eastAsia" w:ascii="仿宋" w:hAnsi="仿宋" w:eastAsia="仿宋" w:cs="仿宋"/>
          <w:color w:val="auto"/>
          <w:sz w:val="24"/>
          <w:highlight w:val="none"/>
        </w:rPr>
        <w:t>为准）</w:t>
      </w:r>
      <w:r>
        <w:rPr>
          <w:rFonts w:hint="eastAsia" w:ascii="仿宋" w:hAnsi="仿宋" w:eastAsia="仿宋" w:cs="仿宋"/>
          <w:color w:val="auto"/>
          <w:sz w:val="24"/>
          <w:highlight w:val="none"/>
          <w:lang w:eastAsia="zh-CN"/>
        </w:rPr>
        <w:t>。</w:t>
      </w:r>
      <w:r>
        <w:rPr>
          <w:rFonts w:hint="eastAsia" w:ascii="仿宋" w:hAnsi="仿宋" w:eastAsia="仿宋" w:cs="仿宋"/>
          <w:color w:val="auto"/>
          <w:sz w:val="24"/>
        </w:rPr>
        <w:t>具有良好的商业信誉</w:t>
      </w:r>
      <w:r>
        <w:rPr>
          <w:rFonts w:hint="eastAsia" w:ascii="仿宋" w:hAnsi="仿宋" w:eastAsia="仿宋" w:cs="仿宋"/>
          <w:color w:val="auto"/>
          <w:sz w:val="24"/>
          <w:lang w:eastAsia="zh-CN"/>
        </w:rPr>
        <w:t>，</w:t>
      </w:r>
      <w:r>
        <w:rPr>
          <w:rFonts w:hint="eastAsia" w:ascii="仿宋" w:hAnsi="仿宋" w:eastAsia="仿宋" w:cs="仿宋"/>
          <w:color w:val="auto"/>
          <w:sz w:val="24"/>
        </w:rPr>
        <w:t>未被工商行政管理机关在全国企业信用信息公示系统中列入严重违法失信企业名单</w:t>
      </w:r>
      <w:r>
        <w:rPr>
          <w:rFonts w:hint="eastAsia" w:ascii="仿宋" w:hAnsi="仿宋" w:eastAsia="仿宋" w:cs="仿宋"/>
          <w:color w:val="auto"/>
          <w:sz w:val="24"/>
          <w:highlight w:val="none"/>
        </w:rPr>
        <w:t>；具有履行合同所需的财务、技术能力及良好的履行合同的记录</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须</w:t>
      </w:r>
      <w:r>
        <w:rPr>
          <w:rFonts w:hint="eastAsia" w:ascii="仿宋" w:hAnsi="仿宋" w:eastAsia="仿宋" w:cs="仿宋"/>
          <w:sz w:val="24"/>
          <w:szCs w:val="24"/>
          <w:highlight w:val="none"/>
        </w:rPr>
        <w:t>提供</w:t>
      </w:r>
      <w:r>
        <w:rPr>
          <w:rFonts w:hint="eastAsia" w:ascii="仿宋" w:hAnsi="仿宋" w:eastAsia="仿宋" w:cs="仿宋"/>
          <w:sz w:val="24"/>
          <w:szCs w:val="24"/>
          <w:highlight w:val="none"/>
          <w:lang w:val="en-US" w:eastAsia="zh-CN"/>
        </w:rPr>
        <w:t>2019年1月至2022年12月合同复印件）</w:t>
      </w:r>
      <w:r>
        <w:rPr>
          <w:rFonts w:hint="eastAsia" w:ascii="仿宋" w:hAnsi="仿宋" w:eastAsia="仿宋" w:cs="仿宋"/>
          <w:sz w:val="24"/>
          <w:szCs w:val="24"/>
          <w:highlight w:val="none"/>
        </w:rPr>
        <w:t>。</w:t>
      </w:r>
    </w:p>
    <w:p>
      <w:pPr>
        <w:pStyle w:val="10"/>
        <w:pageBreakBefore w:val="0"/>
        <w:tabs>
          <w:tab w:val="left" w:pos="851"/>
        </w:tabs>
        <w:kinsoku/>
        <w:overflowPunct/>
        <w:autoSpaceDE w:val="0"/>
        <w:autoSpaceDN/>
        <w:bidi w:val="0"/>
        <w:adjustRightInd w:val="0"/>
        <w:snapToGrid w:val="0"/>
        <w:spacing w:line="420" w:lineRule="exact"/>
        <w:ind w:left="966" w:leftChars="1" w:hanging="964" w:hangingChars="402"/>
        <w:contextualSpacing/>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xml:space="preserve"> </w:t>
      </w:r>
      <w:r>
        <w:rPr>
          <w:rFonts w:hint="eastAsia" w:ascii="仿宋" w:hAnsi="仿宋" w:eastAsia="仿宋" w:cs="仿宋"/>
          <w:b/>
          <w:sz w:val="24"/>
          <w:szCs w:val="24"/>
          <w:highlight w:val="none"/>
        </w:rPr>
        <w:t xml:space="preserve">  </w:t>
      </w:r>
      <w:r>
        <w:rPr>
          <w:rFonts w:hint="eastAsia" w:ascii="仿宋" w:hAnsi="仿宋" w:eastAsia="仿宋" w:cs="仿宋"/>
          <w:b/>
          <w:sz w:val="24"/>
          <w:szCs w:val="24"/>
          <w:highlight w:val="none"/>
          <w:lang w:val="en-US" w:eastAsia="zh-CN"/>
        </w:rPr>
        <w:t xml:space="preserve"> </w:t>
      </w:r>
      <w:r>
        <w:rPr>
          <w:rFonts w:hint="eastAsia" w:ascii="仿宋" w:hAnsi="仿宋" w:eastAsia="仿宋" w:cs="仿宋"/>
          <w:sz w:val="24"/>
          <w:szCs w:val="24"/>
          <w:highlight w:val="none"/>
        </w:rPr>
        <w:t>需方合格供</w:t>
      </w:r>
      <w:r>
        <w:rPr>
          <w:rFonts w:hint="eastAsia" w:ascii="仿宋" w:hAnsi="仿宋" w:eastAsia="仿宋" w:cs="仿宋"/>
          <w:sz w:val="24"/>
          <w:szCs w:val="24"/>
          <w:highlight w:val="none"/>
          <w:lang w:eastAsia="zh-CN"/>
        </w:rPr>
        <w:t>应商资格</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经营范围包含标牌制作、设计</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须</w:t>
      </w:r>
      <w:r>
        <w:rPr>
          <w:rFonts w:hint="eastAsia" w:ascii="仿宋" w:hAnsi="仿宋" w:eastAsia="仿宋" w:cs="仿宋"/>
          <w:sz w:val="24"/>
          <w:szCs w:val="24"/>
          <w:highlight w:val="none"/>
        </w:rPr>
        <w:t>提供</w:t>
      </w:r>
      <w:r>
        <w:rPr>
          <w:rFonts w:hint="eastAsia" w:ascii="仿宋" w:hAnsi="仿宋" w:eastAsia="仿宋" w:cs="仿宋"/>
          <w:sz w:val="24"/>
          <w:szCs w:val="24"/>
          <w:highlight w:val="none"/>
          <w:lang w:val="en-US" w:eastAsia="zh-CN"/>
        </w:rPr>
        <w:t>2019年1月至2022年12月合同复印件）</w:t>
      </w:r>
      <w:r>
        <w:rPr>
          <w:rFonts w:hint="eastAsia" w:ascii="仿宋" w:hAnsi="仿宋" w:eastAsia="仿宋" w:cs="仿宋"/>
          <w:sz w:val="24"/>
          <w:szCs w:val="24"/>
          <w:highlight w:val="none"/>
        </w:rPr>
        <w:t>。</w:t>
      </w:r>
      <w:bookmarkStart w:id="3" w:name="_GoBack"/>
      <w:bookmarkEnd w:id="3"/>
    </w:p>
    <w:p>
      <w:pPr>
        <w:pStyle w:val="10"/>
        <w:pageBreakBefore w:val="0"/>
        <w:tabs>
          <w:tab w:val="left" w:pos="851"/>
        </w:tabs>
        <w:kinsoku/>
        <w:overflowPunct/>
        <w:autoSpaceDE w:val="0"/>
        <w:autoSpaceDN/>
        <w:bidi w:val="0"/>
        <w:adjustRightInd w:val="0"/>
        <w:snapToGrid w:val="0"/>
        <w:spacing w:line="420" w:lineRule="exact"/>
        <w:ind w:left="966" w:leftChars="1" w:hanging="964" w:hangingChars="402"/>
        <w:contextualSpacing/>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eastAsia="zh-CN"/>
        </w:rPr>
        <w:t>集团</w:t>
      </w:r>
      <w:r>
        <w:rPr>
          <w:rFonts w:hint="eastAsia" w:ascii="仿宋" w:hAnsi="仿宋" w:eastAsia="仿宋" w:cs="仿宋"/>
          <w:sz w:val="24"/>
          <w:szCs w:val="24"/>
          <w:highlight w:val="none"/>
        </w:rPr>
        <w:t>湘钢、涟钢</w:t>
      </w:r>
      <w:r>
        <w:rPr>
          <w:rFonts w:hint="eastAsia" w:ascii="仿宋" w:hAnsi="仿宋" w:eastAsia="仿宋" w:cs="仿宋"/>
          <w:sz w:val="24"/>
          <w:szCs w:val="24"/>
          <w:highlight w:val="none"/>
          <w:lang w:eastAsia="zh-CN"/>
        </w:rPr>
        <w:t>安环标牌类物资的</w:t>
      </w:r>
      <w:r>
        <w:rPr>
          <w:rFonts w:hint="eastAsia" w:ascii="仿宋" w:hAnsi="仿宋" w:eastAsia="仿宋" w:cs="仿宋"/>
          <w:sz w:val="24"/>
          <w:szCs w:val="24"/>
          <w:highlight w:val="none"/>
        </w:rPr>
        <w:t>合格供</w:t>
      </w:r>
      <w:r>
        <w:rPr>
          <w:rFonts w:hint="eastAsia" w:ascii="仿宋" w:hAnsi="仿宋" w:eastAsia="仿宋" w:cs="仿宋"/>
          <w:sz w:val="24"/>
          <w:szCs w:val="24"/>
          <w:highlight w:val="none"/>
          <w:lang w:eastAsia="zh-CN"/>
        </w:rPr>
        <w:t>应商，</w:t>
      </w:r>
      <w:r>
        <w:rPr>
          <w:rFonts w:hint="eastAsia" w:ascii="仿宋" w:hAnsi="仿宋" w:eastAsia="仿宋" w:cs="仿宋"/>
          <w:sz w:val="24"/>
          <w:szCs w:val="24"/>
          <w:highlight w:val="none"/>
        </w:rPr>
        <w:t>公司成立时间</w:t>
      </w:r>
      <w:r>
        <w:rPr>
          <w:rFonts w:hint="eastAsia" w:ascii="仿宋" w:hAnsi="仿宋" w:eastAsia="仿宋" w:cs="仿宋"/>
          <w:sz w:val="24"/>
          <w:szCs w:val="24"/>
          <w:highlight w:val="none"/>
          <w:lang w:eastAsia="zh-CN"/>
        </w:rPr>
        <w:t>三</w:t>
      </w:r>
      <w:r>
        <w:rPr>
          <w:rFonts w:hint="eastAsia" w:ascii="仿宋" w:hAnsi="仿宋" w:eastAsia="仿宋" w:cs="仿宋"/>
          <w:sz w:val="24"/>
          <w:szCs w:val="24"/>
          <w:highlight w:val="none"/>
        </w:rPr>
        <w:t>年以上（</w:t>
      </w:r>
      <w:r>
        <w:rPr>
          <w:rFonts w:hint="eastAsia" w:ascii="仿宋" w:hAnsi="仿宋" w:eastAsia="仿宋" w:cs="仿宋"/>
          <w:sz w:val="24"/>
          <w:szCs w:val="24"/>
          <w:highlight w:val="none"/>
          <w:lang w:eastAsia="zh-CN"/>
        </w:rPr>
        <w:t>须</w:t>
      </w:r>
      <w:r>
        <w:rPr>
          <w:rFonts w:hint="eastAsia" w:ascii="仿宋" w:hAnsi="仿宋" w:eastAsia="仿宋" w:cs="仿宋"/>
          <w:sz w:val="24"/>
          <w:szCs w:val="24"/>
          <w:highlight w:val="none"/>
        </w:rPr>
        <w:t>提供</w:t>
      </w:r>
      <w:r>
        <w:rPr>
          <w:rFonts w:hint="eastAsia" w:ascii="仿宋" w:hAnsi="仿宋" w:eastAsia="仿宋" w:cs="仿宋"/>
          <w:sz w:val="24"/>
          <w:szCs w:val="24"/>
          <w:highlight w:val="none"/>
          <w:lang w:val="en-US" w:eastAsia="zh-CN"/>
        </w:rPr>
        <w:t>2019年1月至2022年12月合同复印件</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w:t>
      </w:r>
    </w:p>
    <w:p>
      <w:pPr>
        <w:pStyle w:val="10"/>
        <w:pageBreakBefore w:val="0"/>
        <w:tabs>
          <w:tab w:val="left" w:pos="851"/>
        </w:tabs>
        <w:kinsoku/>
        <w:overflowPunct/>
        <w:autoSpaceDE w:val="0"/>
        <w:autoSpaceDN/>
        <w:bidi w:val="0"/>
        <w:adjustRightInd w:val="0"/>
        <w:snapToGrid w:val="0"/>
        <w:spacing w:line="420" w:lineRule="exact"/>
        <w:ind w:left="966" w:leftChars="1" w:hanging="964" w:hangingChars="402"/>
        <w:contextualSpacing/>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2.4    </w:t>
      </w:r>
      <w:r>
        <w:rPr>
          <w:rFonts w:hint="eastAsia" w:ascii="仿宋" w:hAnsi="仿宋" w:eastAsia="仿宋" w:cs="仿宋"/>
          <w:color w:val="auto"/>
          <w:sz w:val="24"/>
        </w:rPr>
        <w:t>本项目不接受法律禁止或列入湖南华菱钢铁集团有限责任公司及其分（子）公司供应商黑名单或衡阳华菱钢管有限公司、衡阳华菱钢管有限公司、湖南衡阳钢管(集团)有限公司供应商资格暂停、取消、淘汰期间的单位或个人投标。</w:t>
      </w:r>
      <w:r>
        <w:rPr>
          <w:rFonts w:hint="eastAsia" w:ascii="仿宋" w:hAnsi="仿宋" w:eastAsia="仿宋" w:cs="仿宋"/>
          <w:sz w:val="24"/>
          <w:szCs w:val="24"/>
          <w:highlight w:val="none"/>
        </w:rPr>
        <w:t xml:space="preserve">                                                                                                                                                                                                          </w:t>
      </w:r>
    </w:p>
    <w:p>
      <w:pPr>
        <w:pStyle w:val="5"/>
        <w:pageBreakBefore w:val="0"/>
        <w:numPr>
          <w:ilvl w:val="0"/>
          <w:numId w:val="0"/>
        </w:numPr>
        <w:tabs>
          <w:tab w:val="left" w:pos="840"/>
        </w:tabs>
        <w:kinsoku/>
        <w:overflowPunct/>
        <w:autoSpaceDN/>
        <w:bidi w:val="0"/>
        <w:spacing w:after="0" w:line="420" w:lineRule="exact"/>
        <w:ind w:left="835" w:leftChars="0" w:hanging="835" w:hangingChars="348"/>
        <w:textAlignment w:val="auto"/>
        <w:rPr>
          <w:rFonts w:hint="eastAsia" w:ascii="仿宋" w:hAnsi="仿宋" w:eastAsia="仿宋" w:cs="仿宋"/>
          <w:color w:val="auto"/>
          <w:sz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 xml:space="preserve">.5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color w:val="auto"/>
          <w:sz w:val="24"/>
          <w:highlight w:val="none"/>
        </w:rPr>
        <w:t>本</w:t>
      </w:r>
      <w:r>
        <w:rPr>
          <w:rFonts w:hint="eastAsia" w:ascii="仿宋" w:hAnsi="仿宋" w:eastAsia="仿宋" w:cs="仿宋"/>
          <w:color w:val="auto"/>
          <w:sz w:val="24"/>
          <w:highlight w:val="none"/>
          <w:lang w:eastAsia="zh-CN"/>
        </w:rPr>
        <w:t>项目</w:t>
      </w:r>
      <w:r>
        <w:rPr>
          <w:rFonts w:hint="eastAsia" w:ascii="仿宋" w:hAnsi="仿宋" w:eastAsia="仿宋" w:cs="仿宋"/>
          <w:color w:val="auto"/>
          <w:sz w:val="24"/>
          <w:highlight w:val="none"/>
        </w:rPr>
        <w:t>不接受联合体投标。</w:t>
      </w:r>
    </w:p>
    <w:p>
      <w:pPr>
        <w:pStyle w:val="13"/>
        <w:pageBreakBefore w:val="0"/>
        <w:kinsoku/>
        <w:overflowPunct/>
        <w:autoSpaceDN/>
        <w:bidi w:val="0"/>
        <w:adjustRightInd w:val="0"/>
        <w:snapToGrid w:val="0"/>
        <w:spacing w:line="420" w:lineRule="exact"/>
        <w:ind w:left="980" w:hanging="843" w:hangingChars="350"/>
        <w:contextualSpacing/>
        <w:jc w:val="left"/>
        <w:textAlignment w:val="auto"/>
        <w:rPr>
          <w:rFonts w:hint="eastAsia" w:ascii="仿宋" w:hAnsi="仿宋" w:eastAsia="仿宋" w:cs="仿宋"/>
          <w:b/>
          <w:sz w:val="24"/>
          <w:szCs w:val="24"/>
          <w:highlight w:val="none"/>
        </w:rPr>
      </w:pPr>
      <w:r>
        <w:rPr>
          <w:rFonts w:hint="eastAsia" w:ascii="仿宋" w:hAnsi="仿宋" w:eastAsia="仿宋" w:cs="仿宋"/>
          <w:b/>
          <w:bCs/>
          <w:sz w:val="24"/>
          <w:szCs w:val="24"/>
          <w:highlight w:val="none"/>
        </w:rPr>
        <w:t>3</w:t>
      </w:r>
      <w:r>
        <w:rPr>
          <w:rFonts w:hint="eastAsia" w:ascii="仿宋" w:hAnsi="仿宋" w:eastAsia="仿宋" w:cs="仿宋"/>
          <w:b/>
          <w:bCs/>
          <w:sz w:val="24"/>
          <w:szCs w:val="24"/>
          <w:highlight w:val="none"/>
          <w:lang w:val="en-US" w:eastAsia="zh-CN"/>
        </w:rPr>
        <w:t xml:space="preserve">     </w:t>
      </w:r>
      <w:r>
        <w:rPr>
          <w:rFonts w:hint="eastAsia" w:ascii="仿宋" w:hAnsi="仿宋" w:eastAsia="仿宋" w:cs="仿宋"/>
          <w:b/>
          <w:sz w:val="24"/>
          <w:szCs w:val="24"/>
          <w:highlight w:val="none"/>
        </w:rPr>
        <w:t>招标文件获取</w:t>
      </w:r>
    </w:p>
    <w:p>
      <w:pPr>
        <w:pStyle w:val="13"/>
        <w:pageBreakBefore w:val="0"/>
        <w:numPr>
          <w:ilvl w:val="1"/>
          <w:numId w:val="2"/>
        </w:numPr>
        <w:tabs>
          <w:tab w:val="left" w:pos="851"/>
        </w:tabs>
        <w:kinsoku/>
        <w:overflowPunct/>
        <w:autoSpaceDN/>
        <w:bidi w:val="0"/>
        <w:adjustRightInd w:val="0"/>
        <w:snapToGrid w:val="0"/>
        <w:spacing w:line="420" w:lineRule="exact"/>
        <w:ind w:firstLineChars="0"/>
        <w:contextualSpacing/>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请各投标人自行在衡阳华菱钢管有限公司网站（http://www.hysteeltube.com/zbgg）</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下载招标文件、报价清单、技术附件等。</w:t>
      </w:r>
    </w:p>
    <w:p>
      <w:pPr>
        <w:pStyle w:val="13"/>
        <w:pageBreakBefore w:val="0"/>
        <w:numPr>
          <w:ilvl w:val="1"/>
          <w:numId w:val="2"/>
        </w:numPr>
        <w:tabs>
          <w:tab w:val="left" w:pos="851"/>
        </w:tabs>
        <w:kinsoku/>
        <w:overflowPunct/>
        <w:autoSpaceDN/>
        <w:bidi w:val="0"/>
        <w:adjustRightInd w:val="0"/>
        <w:snapToGrid w:val="0"/>
        <w:spacing w:line="420" w:lineRule="exact"/>
        <w:ind w:firstLineChars="0"/>
        <w:contextualSpacing/>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请投标单位自行下载或查阅招标文件及相关资料等，恕不另行通知，如有遗漏，招标人概不负责。</w:t>
      </w:r>
    </w:p>
    <w:p>
      <w:pPr>
        <w:pStyle w:val="13"/>
        <w:pageBreakBefore w:val="0"/>
        <w:numPr>
          <w:ilvl w:val="1"/>
          <w:numId w:val="2"/>
        </w:numPr>
        <w:tabs>
          <w:tab w:val="left" w:pos="851"/>
        </w:tabs>
        <w:kinsoku/>
        <w:overflowPunct/>
        <w:autoSpaceDN/>
        <w:bidi w:val="0"/>
        <w:adjustRightInd w:val="0"/>
        <w:snapToGrid w:val="0"/>
        <w:spacing w:line="420" w:lineRule="exact"/>
        <w:ind w:left="2580" w:hanging="2580" w:firstLineChars="0"/>
        <w:contextualSpacing/>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招标文件售价100元人民币，扫码支付。</w:t>
      </w:r>
    </w:p>
    <w:p>
      <w:pPr>
        <w:pStyle w:val="13"/>
        <w:pageBreakBefore w:val="0"/>
        <w:numPr>
          <w:ilvl w:val="0"/>
          <w:numId w:val="2"/>
        </w:numPr>
        <w:tabs>
          <w:tab w:val="left" w:pos="851"/>
        </w:tabs>
        <w:kinsoku/>
        <w:overflowPunct/>
        <w:autoSpaceDN/>
        <w:bidi w:val="0"/>
        <w:adjustRightInd w:val="0"/>
        <w:snapToGrid w:val="0"/>
        <w:spacing w:line="420" w:lineRule="exact"/>
        <w:ind w:left="2582" w:hanging="2580" w:firstLineChars="0"/>
        <w:contextualSpacing/>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投标保证金</w:t>
      </w:r>
    </w:p>
    <w:p>
      <w:pPr>
        <w:pStyle w:val="13"/>
        <w:pageBreakBefore w:val="0"/>
        <w:numPr>
          <w:ilvl w:val="1"/>
          <w:numId w:val="2"/>
        </w:numPr>
        <w:tabs>
          <w:tab w:val="left" w:pos="851"/>
        </w:tabs>
        <w:kinsoku/>
        <w:overflowPunct/>
        <w:autoSpaceDN/>
        <w:bidi w:val="0"/>
        <w:adjustRightInd w:val="0"/>
        <w:snapToGrid w:val="0"/>
        <w:spacing w:line="420" w:lineRule="exact"/>
        <w:ind w:left="2580" w:hanging="2580" w:firstLineChars="0"/>
        <w:contextualSpacing/>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投标保证金金额：</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000元人民币。</w:t>
      </w:r>
    </w:p>
    <w:p>
      <w:pPr>
        <w:pStyle w:val="13"/>
        <w:pageBreakBefore w:val="0"/>
        <w:numPr>
          <w:ilvl w:val="1"/>
          <w:numId w:val="2"/>
        </w:numPr>
        <w:tabs>
          <w:tab w:val="left" w:pos="851"/>
        </w:tabs>
        <w:kinsoku/>
        <w:overflowPunct/>
        <w:autoSpaceDN/>
        <w:bidi w:val="0"/>
        <w:adjustRightInd w:val="0"/>
        <w:snapToGrid w:val="0"/>
        <w:spacing w:line="420" w:lineRule="exact"/>
        <w:ind w:left="840" w:leftChars="0" w:hanging="840" w:firstLineChars="0"/>
        <w:contextualSpacing/>
        <w:textAlignment w:val="auto"/>
        <w:rPr>
          <w:rFonts w:hint="eastAsia" w:ascii="仿宋" w:hAnsi="仿宋" w:eastAsia="仿宋" w:cs="仿宋"/>
          <w:sz w:val="24"/>
          <w:szCs w:val="24"/>
          <w:highlight w:val="none"/>
        </w:rPr>
      </w:pPr>
      <w:r>
        <w:rPr>
          <w:rFonts w:hint="eastAsia" w:ascii="仿宋" w:hAnsi="仿宋" w:eastAsia="仿宋" w:cs="仿宋"/>
          <w:color w:val="auto"/>
          <w:sz w:val="24"/>
          <w:highlight w:val="none"/>
        </w:rPr>
        <w:t>投标保证金形式：银行汇票、保付支票、</w:t>
      </w:r>
      <w:r>
        <w:rPr>
          <w:rFonts w:hint="eastAsia" w:ascii="仿宋" w:hAnsi="仿宋" w:eastAsia="仿宋" w:cs="仿宋"/>
          <w:color w:val="auto"/>
          <w:sz w:val="24"/>
          <w:highlight w:val="none"/>
          <w:lang w:eastAsia="zh-CN"/>
        </w:rPr>
        <w:t>现金及</w:t>
      </w:r>
      <w:r>
        <w:rPr>
          <w:rFonts w:hint="eastAsia" w:ascii="仿宋" w:hAnsi="仿宋" w:eastAsia="仿宋" w:cs="仿宋"/>
          <w:color w:val="auto"/>
          <w:sz w:val="24"/>
          <w:highlight w:val="none"/>
        </w:rPr>
        <w:t>转账（在衡钢有货款或维修款或工程款的，可用充当保证金，但须按附件格式提交投标保证金承诺书）</w:t>
      </w:r>
    </w:p>
    <w:p>
      <w:pPr>
        <w:pageBreakBefore w:val="0"/>
        <w:kinsoku/>
        <w:overflowPunct/>
        <w:autoSpaceDN/>
        <w:bidi w:val="0"/>
        <w:adjustRightInd w:val="0"/>
        <w:snapToGrid w:val="0"/>
        <w:spacing w:line="420" w:lineRule="exact"/>
        <w:ind w:left="850" w:leftChars="405"/>
        <w:contextualSpacing/>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开户行：工行衡阳银雁支行    </w:t>
      </w:r>
    </w:p>
    <w:p>
      <w:pPr>
        <w:pageBreakBefore w:val="0"/>
        <w:kinsoku/>
        <w:overflowPunct/>
        <w:autoSpaceDN/>
        <w:bidi w:val="0"/>
        <w:adjustRightInd w:val="0"/>
        <w:snapToGrid w:val="0"/>
        <w:spacing w:line="420" w:lineRule="exact"/>
        <w:ind w:left="850" w:leftChars="405"/>
        <w:contextualSpacing/>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开户名：衡阳华菱连轧管有限公司</w:t>
      </w:r>
    </w:p>
    <w:p>
      <w:pPr>
        <w:pageBreakBefore w:val="0"/>
        <w:kinsoku/>
        <w:overflowPunct/>
        <w:autoSpaceDN/>
        <w:bidi w:val="0"/>
        <w:adjustRightInd w:val="0"/>
        <w:snapToGrid w:val="0"/>
        <w:spacing w:line="420" w:lineRule="exact"/>
        <w:ind w:left="850" w:leftChars="405"/>
        <w:contextualSpacing/>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帐  号：1905022319020105051</w:t>
      </w:r>
    </w:p>
    <w:p>
      <w:pPr>
        <w:pStyle w:val="13"/>
        <w:pageBreakBefore w:val="0"/>
        <w:numPr>
          <w:ilvl w:val="1"/>
          <w:numId w:val="2"/>
        </w:numPr>
        <w:tabs>
          <w:tab w:val="left" w:pos="851"/>
        </w:tabs>
        <w:kinsoku/>
        <w:overflowPunct/>
        <w:autoSpaceDN/>
        <w:bidi w:val="0"/>
        <w:adjustRightInd w:val="0"/>
        <w:snapToGrid w:val="0"/>
        <w:spacing w:line="420" w:lineRule="exact"/>
        <w:ind w:firstLineChars="0"/>
        <w:contextualSpacing/>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投标人未按要求缴纳投标保证金，由评委会初审后作无效投标文件处理，其可能造成的损失由投标人自行承担。</w:t>
      </w:r>
    </w:p>
    <w:p>
      <w:pPr>
        <w:pStyle w:val="13"/>
        <w:pageBreakBefore w:val="0"/>
        <w:numPr>
          <w:ilvl w:val="0"/>
          <w:numId w:val="2"/>
        </w:numPr>
        <w:tabs>
          <w:tab w:val="left" w:pos="851"/>
        </w:tabs>
        <w:kinsoku/>
        <w:overflowPunct/>
        <w:autoSpaceDN/>
        <w:bidi w:val="0"/>
        <w:adjustRightInd w:val="0"/>
        <w:snapToGrid w:val="0"/>
        <w:spacing w:line="420" w:lineRule="exact"/>
        <w:ind w:left="2582" w:hanging="2580" w:firstLineChars="0"/>
        <w:contextualSpacing/>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投标和开标</w:t>
      </w:r>
    </w:p>
    <w:p>
      <w:pPr>
        <w:pStyle w:val="13"/>
        <w:pageBreakBefore w:val="0"/>
        <w:numPr>
          <w:ilvl w:val="1"/>
          <w:numId w:val="2"/>
        </w:numPr>
        <w:tabs>
          <w:tab w:val="left" w:pos="851"/>
        </w:tabs>
        <w:kinsoku/>
        <w:overflowPunct/>
        <w:autoSpaceDN/>
        <w:bidi w:val="0"/>
        <w:adjustRightInd w:val="0"/>
        <w:snapToGrid w:val="0"/>
        <w:spacing w:line="420" w:lineRule="exact"/>
        <w:ind w:firstLineChars="0"/>
        <w:contextualSpacing/>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投标文件递交截止时间及开标时间：</w:t>
      </w:r>
      <w:r>
        <w:rPr>
          <w:rFonts w:hint="eastAsia" w:ascii="仿宋" w:hAnsi="仿宋" w:eastAsia="仿宋" w:cs="仿宋"/>
          <w:b/>
          <w:sz w:val="24"/>
          <w:szCs w:val="24"/>
          <w:highlight w:val="none"/>
          <w:u w:val="single"/>
          <w:lang w:eastAsia="zh-CN"/>
        </w:rPr>
        <w:t>2023</w:t>
      </w:r>
      <w:r>
        <w:rPr>
          <w:rFonts w:hint="eastAsia" w:ascii="仿宋" w:hAnsi="仿宋" w:eastAsia="仿宋" w:cs="仿宋"/>
          <w:b/>
          <w:sz w:val="24"/>
          <w:szCs w:val="24"/>
          <w:highlight w:val="none"/>
          <w:u w:val="single"/>
        </w:rPr>
        <w:t>年</w:t>
      </w:r>
      <w:r>
        <w:rPr>
          <w:rFonts w:hint="eastAsia" w:ascii="仿宋" w:hAnsi="仿宋" w:eastAsia="仿宋" w:cs="仿宋"/>
          <w:b/>
          <w:sz w:val="24"/>
          <w:szCs w:val="24"/>
          <w:highlight w:val="none"/>
          <w:u w:val="single"/>
          <w:lang w:val="en-US" w:eastAsia="zh-CN"/>
        </w:rPr>
        <w:t>3</w:t>
      </w:r>
      <w:r>
        <w:rPr>
          <w:rFonts w:hint="eastAsia" w:ascii="仿宋" w:hAnsi="仿宋" w:eastAsia="仿宋" w:cs="仿宋"/>
          <w:b/>
          <w:sz w:val="24"/>
          <w:szCs w:val="24"/>
          <w:highlight w:val="none"/>
          <w:u w:val="single"/>
        </w:rPr>
        <w:t>月</w:t>
      </w:r>
      <w:r>
        <w:rPr>
          <w:rFonts w:hint="eastAsia" w:ascii="仿宋" w:hAnsi="仿宋" w:eastAsia="仿宋" w:cs="仿宋"/>
          <w:b/>
          <w:sz w:val="24"/>
          <w:szCs w:val="24"/>
          <w:highlight w:val="none"/>
          <w:u w:val="single"/>
          <w:lang w:val="en-US" w:eastAsia="zh-CN"/>
        </w:rPr>
        <w:t>23</w:t>
      </w:r>
      <w:r>
        <w:rPr>
          <w:rFonts w:hint="eastAsia" w:ascii="仿宋" w:hAnsi="仿宋" w:eastAsia="仿宋" w:cs="仿宋"/>
          <w:b/>
          <w:sz w:val="24"/>
          <w:szCs w:val="24"/>
          <w:highlight w:val="none"/>
          <w:u w:val="single"/>
        </w:rPr>
        <w:t>日</w:t>
      </w:r>
      <w:r>
        <w:rPr>
          <w:rFonts w:hint="eastAsia" w:ascii="仿宋" w:hAnsi="仿宋" w:eastAsia="仿宋" w:cs="仿宋"/>
          <w:b/>
          <w:sz w:val="24"/>
          <w:szCs w:val="24"/>
          <w:highlight w:val="none"/>
          <w:u w:val="single"/>
          <w:lang w:eastAsia="zh-CN"/>
        </w:rPr>
        <w:t>下午</w:t>
      </w:r>
      <w:r>
        <w:rPr>
          <w:rFonts w:hint="eastAsia" w:ascii="仿宋" w:hAnsi="仿宋" w:eastAsia="仿宋" w:cs="仿宋"/>
          <w:b/>
          <w:sz w:val="24"/>
          <w:szCs w:val="24"/>
          <w:highlight w:val="none"/>
          <w:u w:val="single"/>
          <w:lang w:val="en-US" w:eastAsia="zh-CN"/>
        </w:rPr>
        <w:t>14：30（北京时间）</w:t>
      </w:r>
    </w:p>
    <w:p>
      <w:pPr>
        <w:pStyle w:val="13"/>
        <w:pageBreakBefore w:val="0"/>
        <w:numPr>
          <w:ilvl w:val="1"/>
          <w:numId w:val="2"/>
        </w:numPr>
        <w:tabs>
          <w:tab w:val="left" w:pos="851"/>
        </w:tabs>
        <w:kinsoku/>
        <w:overflowPunct/>
        <w:autoSpaceDN/>
        <w:bidi w:val="0"/>
        <w:adjustRightInd w:val="0"/>
        <w:snapToGrid w:val="0"/>
        <w:spacing w:line="420" w:lineRule="exact"/>
        <w:ind w:firstLineChars="0"/>
        <w:contextualSpacing/>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投标文件递交及开标地点：</w:t>
      </w:r>
      <w:r>
        <w:rPr>
          <w:rFonts w:hint="eastAsia" w:ascii="仿宋" w:hAnsi="仿宋" w:eastAsia="仿宋" w:cs="仿宋"/>
          <w:b/>
          <w:bCs/>
          <w:sz w:val="24"/>
          <w:szCs w:val="24"/>
          <w:highlight w:val="none"/>
        </w:rPr>
        <w:t>衡阳华菱钢管有限公司西办公楼三楼开标</w:t>
      </w:r>
      <w:r>
        <w:rPr>
          <w:rFonts w:hint="eastAsia" w:ascii="仿宋" w:hAnsi="仿宋" w:eastAsia="仿宋" w:cs="仿宋"/>
          <w:b/>
          <w:bCs/>
          <w:sz w:val="24"/>
          <w:szCs w:val="24"/>
          <w:highlight w:val="none"/>
          <w:lang w:eastAsia="zh-CN"/>
        </w:rPr>
        <w:t>二</w:t>
      </w:r>
      <w:r>
        <w:rPr>
          <w:rFonts w:hint="eastAsia" w:ascii="仿宋" w:hAnsi="仿宋" w:eastAsia="仿宋" w:cs="仿宋"/>
          <w:b/>
          <w:bCs/>
          <w:sz w:val="24"/>
          <w:szCs w:val="24"/>
          <w:highlight w:val="none"/>
        </w:rPr>
        <w:t xml:space="preserve">室（采购部三楼）  </w:t>
      </w:r>
      <w:r>
        <w:rPr>
          <w:rFonts w:hint="eastAsia" w:ascii="仿宋" w:hAnsi="仿宋" w:eastAsia="仿宋" w:cs="仿宋"/>
          <w:sz w:val="24"/>
          <w:szCs w:val="24"/>
          <w:highlight w:val="none"/>
        </w:rPr>
        <w:t xml:space="preserve">                </w:t>
      </w:r>
    </w:p>
    <w:p>
      <w:pPr>
        <w:pStyle w:val="13"/>
        <w:pageBreakBefore w:val="0"/>
        <w:numPr>
          <w:ilvl w:val="1"/>
          <w:numId w:val="2"/>
        </w:numPr>
        <w:tabs>
          <w:tab w:val="left" w:pos="851"/>
        </w:tabs>
        <w:kinsoku/>
        <w:overflowPunct/>
        <w:autoSpaceDN/>
        <w:bidi w:val="0"/>
        <w:adjustRightInd w:val="0"/>
        <w:snapToGrid w:val="0"/>
        <w:spacing w:line="420" w:lineRule="exact"/>
        <w:ind w:firstLineChars="0"/>
        <w:contextualSpacing/>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逾期送达的或者未送达指定地点或未按要求密封和加写标记的投标文件，招标人不予受理。</w:t>
      </w:r>
    </w:p>
    <w:p>
      <w:pPr>
        <w:pStyle w:val="13"/>
        <w:pageBreakBefore w:val="0"/>
        <w:numPr>
          <w:ilvl w:val="0"/>
          <w:numId w:val="2"/>
        </w:numPr>
        <w:tabs>
          <w:tab w:val="left" w:pos="851"/>
        </w:tabs>
        <w:kinsoku/>
        <w:overflowPunct/>
        <w:autoSpaceDN/>
        <w:bidi w:val="0"/>
        <w:adjustRightInd w:val="0"/>
        <w:snapToGrid w:val="0"/>
        <w:spacing w:line="420" w:lineRule="exact"/>
        <w:ind w:firstLineChars="0"/>
        <w:contextualSpacing/>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评标办法</w:t>
      </w:r>
    </w:p>
    <w:p>
      <w:pPr>
        <w:pStyle w:val="13"/>
        <w:pageBreakBefore w:val="0"/>
        <w:kinsoku/>
        <w:overflowPunct/>
        <w:autoSpaceDN/>
        <w:bidi w:val="0"/>
        <w:adjustRightInd w:val="0"/>
        <w:snapToGrid w:val="0"/>
        <w:spacing w:line="420" w:lineRule="exact"/>
        <w:ind w:left="851" w:firstLine="0" w:firstLineChars="0"/>
        <w:contextualSpacing/>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本项目采用经评审的最低价中标法。</w:t>
      </w:r>
    </w:p>
    <w:p>
      <w:pPr>
        <w:pStyle w:val="13"/>
        <w:pageBreakBefore w:val="0"/>
        <w:numPr>
          <w:ilvl w:val="0"/>
          <w:numId w:val="2"/>
        </w:numPr>
        <w:tabs>
          <w:tab w:val="left" w:pos="851"/>
        </w:tabs>
        <w:kinsoku/>
        <w:overflowPunct/>
        <w:autoSpaceDN/>
        <w:bidi w:val="0"/>
        <w:adjustRightInd w:val="0"/>
        <w:snapToGrid w:val="0"/>
        <w:spacing w:line="420" w:lineRule="exact"/>
        <w:ind w:firstLineChars="0"/>
        <w:contextualSpacing/>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公告媒介</w:t>
      </w:r>
    </w:p>
    <w:p>
      <w:pPr>
        <w:pStyle w:val="13"/>
        <w:pageBreakBefore w:val="0"/>
        <w:kinsoku/>
        <w:overflowPunct/>
        <w:autoSpaceDN/>
        <w:bidi w:val="0"/>
        <w:adjustRightInd w:val="0"/>
        <w:snapToGrid w:val="0"/>
        <w:spacing w:line="420" w:lineRule="exact"/>
        <w:ind w:left="851" w:firstLine="0" w:firstLineChars="0"/>
        <w:contextualSpacing/>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本次招标公告在衡阳华菱钢管有限公司网站（http://www.hysteeltube.com/zbgg）上发布。</w:t>
      </w:r>
    </w:p>
    <w:p>
      <w:pPr>
        <w:pStyle w:val="13"/>
        <w:pageBreakBefore w:val="0"/>
        <w:numPr>
          <w:ilvl w:val="0"/>
          <w:numId w:val="2"/>
        </w:numPr>
        <w:tabs>
          <w:tab w:val="left" w:pos="851"/>
        </w:tabs>
        <w:kinsoku/>
        <w:overflowPunct/>
        <w:autoSpaceDN/>
        <w:bidi w:val="0"/>
        <w:adjustRightInd w:val="0"/>
        <w:snapToGrid w:val="0"/>
        <w:spacing w:line="420" w:lineRule="exact"/>
        <w:ind w:firstLineChars="0"/>
        <w:contextualSpacing/>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监督</w:t>
      </w:r>
    </w:p>
    <w:p>
      <w:pPr>
        <w:pStyle w:val="13"/>
        <w:pageBreakBefore w:val="0"/>
        <w:numPr>
          <w:ilvl w:val="0"/>
          <w:numId w:val="2"/>
        </w:numPr>
        <w:tabs>
          <w:tab w:val="left" w:pos="851"/>
        </w:tabs>
        <w:kinsoku/>
        <w:overflowPunct/>
        <w:autoSpaceDN/>
        <w:bidi w:val="0"/>
        <w:snapToGrid w:val="0"/>
        <w:spacing w:line="420" w:lineRule="exact"/>
        <w:ind w:firstLineChars="0"/>
        <w:textAlignment w:val="auto"/>
        <w:rPr>
          <w:rFonts w:hint="eastAsia" w:ascii="仿宋" w:hAnsi="仿宋" w:eastAsia="仿宋" w:cs="仿宋"/>
          <w:kern w:val="0"/>
          <w:sz w:val="24"/>
          <w:szCs w:val="24"/>
          <w:highlight w:val="none"/>
        </w:rPr>
      </w:pPr>
      <w:r>
        <w:rPr>
          <w:rFonts w:hint="eastAsia" w:ascii="仿宋" w:hAnsi="仿宋" w:eastAsia="仿宋" w:cs="仿宋"/>
          <w:sz w:val="24"/>
          <w:szCs w:val="24"/>
          <w:highlight w:val="none"/>
        </w:rPr>
        <w:t>本次招投标监督部门为衡阳华菱钢管有限公司</w:t>
      </w:r>
      <w:bookmarkStart w:id="1" w:name="_Toc300677994"/>
      <w:bookmarkStart w:id="2" w:name="_Toc303864862"/>
      <w:r>
        <w:rPr>
          <w:rFonts w:hint="eastAsia" w:ascii="仿宋" w:hAnsi="仿宋" w:eastAsia="仿宋" w:cs="仿宋"/>
          <w:sz w:val="24"/>
          <w:szCs w:val="24"/>
          <w:highlight w:val="none"/>
        </w:rPr>
        <w:t>纪委，电话：</w:t>
      </w:r>
      <w:bookmarkEnd w:id="1"/>
      <w:bookmarkEnd w:id="2"/>
      <w:r>
        <w:rPr>
          <w:rFonts w:hint="eastAsia" w:ascii="仿宋" w:hAnsi="仿宋" w:eastAsia="仿宋" w:cs="仿宋"/>
          <w:kern w:val="0"/>
          <w:sz w:val="24"/>
          <w:szCs w:val="24"/>
          <w:highlight w:val="none"/>
        </w:rPr>
        <w:t>0734-8872189</w:t>
      </w:r>
    </w:p>
    <w:p>
      <w:pPr>
        <w:pStyle w:val="13"/>
        <w:pageBreakBefore w:val="0"/>
        <w:numPr>
          <w:ilvl w:val="0"/>
          <w:numId w:val="2"/>
        </w:numPr>
        <w:tabs>
          <w:tab w:val="left" w:pos="851"/>
        </w:tabs>
        <w:kinsoku/>
        <w:overflowPunct/>
        <w:autoSpaceDN/>
        <w:bidi w:val="0"/>
        <w:adjustRightInd w:val="0"/>
        <w:snapToGrid w:val="0"/>
        <w:spacing w:line="420" w:lineRule="exact"/>
        <w:ind w:firstLineChars="0"/>
        <w:contextualSpacing/>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其它</w:t>
      </w:r>
    </w:p>
    <w:p>
      <w:pPr>
        <w:pStyle w:val="13"/>
        <w:pageBreakBefore w:val="0"/>
        <w:kinsoku/>
        <w:overflowPunct/>
        <w:autoSpaceDN/>
        <w:bidi w:val="0"/>
        <w:adjustRightInd w:val="0"/>
        <w:snapToGrid w:val="0"/>
        <w:spacing w:line="420" w:lineRule="exact"/>
        <w:ind w:left="851"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投标人须保证其提供的资格审查申请资料及投标资料的真实性，招标人有权在招标的任何阶段进行调查和核实，一旦发现虚假，将严肃查处。</w:t>
      </w:r>
    </w:p>
    <w:p>
      <w:pPr>
        <w:pStyle w:val="13"/>
        <w:pageBreakBefore w:val="0"/>
        <w:numPr>
          <w:ilvl w:val="0"/>
          <w:numId w:val="2"/>
        </w:numPr>
        <w:tabs>
          <w:tab w:val="left" w:pos="851"/>
        </w:tabs>
        <w:kinsoku/>
        <w:overflowPunct/>
        <w:autoSpaceDN/>
        <w:bidi w:val="0"/>
        <w:adjustRightInd w:val="0"/>
        <w:snapToGrid w:val="0"/>
        <w:spacing w:line="420" w:lineRule="exact"/>
        <w:ind w:firstLineChars="0"/>
        <w:contextualSpacing/>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联系方式：</w:t>
      </w:r>
    </w:p>
    <w:p>
      <w:pPr>
        <w:pageBreakBefore w:val="0"/>
        <w:tabs>
          <w:tab w:val="left" w:pos="840"/>
        </w:tabs>
        <w:kinsoku/>
        <w:overflowPunct/>
        <w:autoSpaceDN/>
        <w:bidi w:val="0"/>
        <w:snapToGrid w:val="0"/>
        <w:spacing w:line="420" w:lineRule="exact"/>
        <w:ind w:firstLine="720" w:firstLineChars="3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项目联系人：李</w:t>
      </w:r>
      <w:r>
        <w:rPr>
          <w:rFonts w:hint="eastAsia" w:ascii="仿宋" w:hAnsi="仿宋" w:eastAsia="仿宋" w:cs="仿宋"/>
          <w:sz w:val="24"/>
          <w:szCs w:val="24"/>
          <w:highlight w:val="none"/>
          <w:lang w:eastAsia="zh-CN"/>
        </w:rPr>
        <w:t>昂</w:t>
      </w:r>
    </w:p>
    <w:p>
      <w:pPr>
        <w:pageBreakBefore w:val="0"/>
        <w:tabs>
          <w:tab w:val="left" w:pos="840"/>
        </w:tabs>
        <w:kinsoku/>
        <w:overflowPunct/>
        <w:autoSpaceDN/>
        <w:bidi w:val="0"/>
        <w:snapToGrid w:val="0"/>
        <w:spacing w:line="420" w:lineRule="exact"/>
        <w:ind w:firstLine="720" w:firstLine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电话：（0734）8872325（办）  　　　　　手机：18674716639</w:t>
      </w:r>
    </w:p>
    <w:p>
      <w:pPr>
        <w:pageBreakBefore w:val="0"/>
        <w:tabs>
          <w:tab w:val="left" w:pos="840"/>
        </w:tabs>
        <w:kinsoku/>
        <w:overflowPunct/>
        <w:autoSpaceDN/>
        <w:bidi w:val="0"/>
        <w:snapToGrid w:val="0"/>
        <w:spacing w:line="420" w:lineRule="exact"/>
        <w:ind w:firstLine="720" w:firstLine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地址：衡阳华菱钢管有限公司安全环保部</w:t>
      </w:r>
    </w:p>
    <w:p>
      <w:pPr>
        <w:pageBreakBefore w:val="0"/>
        <w:kinsoku/>
        <w:overflowPunct/>
        <w:autoSpaceDN/>
        <w:bidi w:val="0"/>
        <w:spacing w:line="420" w:lineRule="exact"/>
        <w:ind w:firstLine="720" w:firstLineChars="3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招标联系人：</w:t>
      </w:r>
      <w:r>
        <w:rPr>
          <w:rFonts w:hint="eastAsia" w:ascii="仿宋" w:hAnsi="仿宋" w:eastAsia="仿宋" w:cs="仿宋"/>
          <w:sz w:val="24"/>
          <w:szCs w:val="24"/>
          <w:highlight w:val="none"/>
          <w:lang w:eastAsia="zh-CN"/>
        </w:rPr>
        <w:t>洪义斌</w:t>
      </w:r>
    </w:p>
    <w:p>
      <w:pPr>
        <w:pageBreakBefore w:val="0"/>
        <w:kinsoku/>
        <w:overflowPunct/>
        <w:autoSpaceDN/>
        <w:bidi w:val="0"/>
        <w:spacing w:line="420" w:lineRule="exact"/>
        <w:ind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 xml:space="preserve">电话：（0734）8872579（办）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手机：</w:t>
      </w:r>
      <w:r>
        <w:rPr>
          <w:rFonts w:hint="eastAsia" w:ascii="仿宋" w:hAnsi="仿宋" w:eastAsia="仿宋" w:cs="仿宋"/>
          <w:sz w:val="24"/>
          <w:szCs w:val="24"/>
          <w:highlight w:val="none"/>
          <w:lang w:val="en-US" w:eastAsia="zh-CN"/>
        </w:rPr>
        <w:t>15616678886</w:t>
      </w:r>
    </w:p>
    <w:p>
      <w:pPr>
        <w:pStyle w:val="10"/>
        <w:pageBreakBefore w:val="0"/>
        <w:kinsoku/>
        <w:overflowPunct/>
        <w:autoSpaceDN/>
        <w:bidi w:val="0"/>
        <w:adjustRightInd w:val="0"/>
        <w:snapToGrid w:val="0"/>
        <w:spacing w:line="420" w:lineRule="exact"/>
        <w:ind w:firstLine="720" w:firstLineChars="300"/>
        <w:textAlignment w:val="auto"/>
        <w:rPr>
          <w:rFonts w:hint="eastAsia" w:ascii="仿宋" w:hAnsi="仿宋" w:eastAsia="仿宋" w:cs="仿宋"/>
          <w:b/>
          <w:bCs/>
          <w:sz w:val="24"/>
          <w:szCs w:val="24"/>
          <w:highlight w:val="none"/>
        </w:rPr>
      </w:pPr>
      <w:r>
        <w:rPr>
          <w:rFonts w:hint="eastAsia" w:ascii="仿宋" w:hAnsi="仿宋" w:eastAsia="仿宋" w:cs="仿宋"/>
          <w:sz w:val="24"/>
          <w:szCs w:val="24"/>
          <w:highlight w:val="none"/>
        </w:rPr>
        <w:t>地址：衡阳华菱钢管有限公司</w:t>
      </w:r>
      <w:r>
        <w:rPr>
          <w:rFonts w:hint="eastAsia" w:ascii="仿宋" w:hAnsi="仿宋" w:eastAsia="仿宋" w:cs="仿宋"/>
          <w:sz w:val="24"/>
          <w:szCs w:val="24"/>
          <w:highlight w:val="none"/>
          <w:lang w:eastAsia="zh-CN"/>
        </w:rPr>
        <w:t>持续改进</w:t>
      </w:r>
      <w:r>
        <w:rPr>
          <w:rFonts w:hint="eastAsia" w:ascii="仿宋" w:hAnsi="仿宋" w:eastAsia="仿宋" w:cs="仿宋"/>
          <w:sz w:val="24"/>
          <w:szCs w:val="24"/>
          <w:highlight w:val="none"/>
        </w:rPr>
        <w:t>部</w:t>
      </w:r>
    </w:p>
    <w:p>
      <w:pPr>
        <w:pStyle w:val="13"/>
        <w:pageBreakBefore w:val="0"/>
        <w:tabs>
          <w:tab w:val="left" w:pos="840"/>
        </w:tabs>
        <w:kinsoku/>
        <w:overflowPunct/>
        <w:autoSpaceDN/>
        <w:bidi w:val="0"/>
        <w:adjustRightInd w:val="0"/>
        <w:snapToGrid w:val="0"/>
        <w:spacing w:line="420" w:lineRule="exact"/>
        <w:ind w:firstLine="720" w:firstLineChars="300"/>
        <w:textAlignment w:val="auto"/>
        <w:rPr>
          <w:rFonts w:hint="eastAsia" w:ascii="仿宋" w:hAnsi="仿宋" w:eastAsia="仿宋" w:cs="仿宋"/>
          <w:sz w:val="24"/>
          <w:szCs w:val="24"/>
          <w:highlight w:val="none"/>
        </w:rPr>
      </w:pPr>
    </w:p>
    <w:p>
      <w:pPr>
        <w:widowControl/>
        <w:jc w:val="left"/>
        <w:rPr>
          <w:rFonts w:hint="eastAsia" w:ascii="仿宋" w:hAnsi="仿宋" w:eastAsia="仿宋" w:cs="仿宋"/>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490F14"/>
    <w:multiLevelType w:val="multilevel"/>
    <w:tmpl w:val="34490F14"/>
    <w:lvl w:ilvl="0" w:tentative="0">
      <w:start w:val="3"/>
      <w:numFmt w:val="decimal"/>
      <w:lvlText w:val="%1"/>
      <w:lvlJc w:val="left"/>
      <w:pPr>
        <w:ind w:left="432" w:hanging="432"/>
      </w:pPr>
      <w:rPr>
        <w:rFonts w:hint="default"/>
        <w:b/>
        <w:bCs/>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default"/>
        <w:b/>
        <w:bCs/>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dmMTNmODE4YjY3ZDY4NTI1ZDhhM2FmYzIyNmVlNjEifQ=="/>
  </w:docVars>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B09F4"/>
    <w:rsid w:val="001C6F30"/>
    <w:rsid w:val="001F3D8F"/>
    <w:rsid w:val="002009D1"/>
    <w:rsid w:val="00202A3A"/>
    <w:rsid w:val="002121F9"/>
    <w:rsid w:val="00225B23"/>
    <w:rsid w:val="00230FDD"/>
    <w:rsid w:val="002476C1"/>
    <w:rsid w:val="002748CD"/>
    <w:rsid w:val="00290E2F"/>
    <w:rsid w:val="0029282F"/>
    <w:rsid w:val="0029510B"/>
    <w:rsid w:val="002B22F9"/>
    <w:rsid w:val="002B4A69"/>
    <w:rsid w:val="002B7663"/>
    <w:rsid w:val="002F1960"/>
    <w:rsid w:val="00346A41"/>
    <w:rsid w:val="00354351"/>
    <w:rsid w:val="003579DA"/>
    <w:rsid w:val="003A6C65"/>
    <w:rsid w:val="00400B4A"/>
    <w:rsid w:val="004323F8"/>
    <w:rsid w:val="00435CFB"/>
    <w:rsid w:val="00471425"/>
    <w:rsid w:val="004947E4"/>
    <w:rsid w:val="00495EF9"/>
    <w:rsid w:val="00497E3D"/>
    <w:rsid w:val="005140DD"/>
    <w:rsid w:val="005143D6"/>
    <w:rsid w:val="00514DD0"/>
    <w:rsid w:val="0052656A"/>
    <w:rsid w:val="00541EC4"/>
    <w:rsid w:val="00552868"/>
    <w:rsid w:val="00562BB6"/>
    <w:rsid w:val="0058096C"/>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47912"/>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C6A88"/>
    <w:rsid w:val="00CF1163"/>
    <w:rsid w:val="00D1310C"/>
    <w:rsid w:val="00D44CE4"/>
    <w:rsid w:val="00D64EB9"/>
    <w:rsid w:val="00DB1A94"/>
    <w:rsid w:val="00DC02CE"/>
    <w:rsid w:val="00DC1A3D"/>
    <w:rsid w:val="00E17AFC"/>
    <w:rsid w:val="00E60BC1"/>
    <w:rsid w:val="00E64D90"/>
    <w:rsid w:val="00E703E9"/>
    <w:rsid w:val="00EA5CD6"/>
    <w:rsid w:val="00EA6D79"/>
    <w:rsid w:val="00EB3B85"/>
    <w:rsid w:val="00EC1076"/>
    <w:rsid w:val="00EC79AF"/>
    <w:rsid w:val="00EE24EC"/>
    <w:rsid w:val="00F02E01"/>
    <w:rsid w:val="00F07D94"/>
    <w:rsid w:val="00F14D83"/>
    <w:rsid w:val="00F15B71"/>
    <w:rsid w:val="00F249FD"/>
    <w:rsid w:val="00F36D1D"/>
    <w:rsid w:val="00F37FDC"/>
    <w:rsid w:val="00F533C6"/>
    <w:rsid w:val="00F76768"/>
    <w:rsid w:val="00F81990"/>
    <w:rsid w:val="00F917D0"/>
    <w:rsid w:val="00FC1DB2"/>
    <w:rsid w:val="00FD1F5C"/>
    <w:rsid w:val="00FE3621"/>
    <w:rsid w:val="00FF6E53"/>
    <w:rsid w:val="01F86F97"/>
    <w:rsid w:val="05FD18C7"/>
    <w:rsid w:val="0614486E"/>
    <w:rsid w:val="06D64387"/>
    <w:rsid w:val="06EF09A7"/>
    <w:rsid w:val="0A766736"/>
    <w:rsid w:val="121C12B1"/>
    <w:rsid w:val="13642F81"/>
    <w:rsid w:val="16D72E35"/>
    <w:rsid w:val="1B43154A"/>
    <w:rsid w:val="1FC3684D"/>
    <w:rsid w:val="202F37F6"/>
    <w:rsid w:val="264B4D7A"/>
    <w:rsid w:val="265979B6"/>
    <w:rsid w:val="2BB43DC3"/>
    <w:rsid w:val="2D011DF5"/>
    <w:rsid w:val="2FE11C85"/>
    <w:rsid w:val="309F2DEE"/>
    <w:rsid w:val="30CE0C9B"/>
    <w:rsid w:val="35135746"/>
    <w:rsid w:val="35DC2826"/>
    <w:rsid w:val="3DEA19AD"/>
    <w:rsid w:val="3E5926E1"/>
    <w:rsid w:val="3E6C4165"/>
    <w:rsid w:val="41C7355D"/>
    <w:rsid w:val="445242B1"/>
    <w:rsid w:val="504306EC"/>
    <w:rsid w:val="53CF0680"/>
    <w:rsid w:val="57B21FF5"/>
    <w:rsid w:val="5BC444DF"/>
    <w:rsid w:val="5E8E7AE3"/>
    <w:rsid w:val="5FE71B82"/>
    <w:rsid w:val="62473F75"/>
    <w:rsid w:val="62C36910"/>
    <w:rsid w:val="646917F6"/>
    <w:rsid w:val="653760C0"/>
    <w:rsid w:val="67C47E73"/>
    <w:rsid w:val="68C96B59"/>
    <w:rsid w:val="6B9D6A0A"/>
    <w:rsid w:val="777D6A67"/>
    <w:rsid w:val="79A15051"/>
    <w:rsid w:val="7A4270BD"/>
    <w:rsid w:val="7CB648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List 2"/>
    <w:basedOn w:val="1"/>
    <w:qFormat/>
    <w:uiPriority w:val="0"/>
    <w:pPr>
      <w:widowControl/>
      <w:ind w:left="840" w:hanging="420"/>
      <w:jc w:val="left"/>
    </w:pPr>
    <w:rPr>
      <w:rFonts w:ascii="宋体"/>
      <w:kern w:val="0"/>
      <w:sz w:val="22"/>
      <w:szCs w:val="20"/>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2"/>
    <w:basedOn w:val="1"/>
    <w:qFormat/>
    <w:uiPriority w:val="0"/>
    <w:pPr>
      <w:spacing w:after="120" w:line="480" w:lineRule="auto"/>
    </w:pPr>
    <w:rPr>
      <w:rFonts w:eastAsia="方正仿宋简体"/>
      <w:sz w:val="30"/>
    </w:rPr>
  </w:style>
  <w:style w:type="paragraph" w:styleId="6">
    <w:name w:val="Title"/>
    <w:basedOn w:val="1"/>
    <w:next w:val="1"/>
    <w:link w:val="9"/>
    <w:qFormat/>
    <w:uiPriority w:val="99"/>
    <w:pPr>
      <w:spacing w:before="240" w:after="60"/>
      <w:jc w:val="center"/>
      <w:outlineLvl w:val="0"/>
    </w:pPr>
    <w:rPr>
      <w:rFonts w:ascii="Cambria" w:hAnsi="Cambria"/>
      <w:b/>
      <w:bCs/>
      <w:sz w:val="32"/>
      <w:szCs w:val="32"/>
    </w:rPr>
  </w:style>
  <w:style w:type="character" w:customStyle="1" w:styleId="9">
    <w:name w:val="标题 Char"/>
    <w:basedOn w:val="8"/>
    <w:link w:val="6"/>
    <w:qFormat/>
    <w:uiPriority w:val="99"/>
    <w:rPr>
      <w:rFonts w:ascii="Cambria" w:hAnsi="Cambria" w:eastAsia="宋体" w:cs="Times New Roman"/>
      <w:b/>
      <w:bCs/>
      <w:sz w:val="32"/>
      <w:szCs w:val="32"/>
    </w:rPr>
  </w:style>
  <w:style w:type="paragraph" w:customStyle="1" w:styleId="10">
    <w:name w:val="列出段落1"/>
    <w:basedOn w:val="1"/>
    <w:qFormat/>
    <w:uiPriority w:val="0"/>
    <w:pPr>
      <w:ind w:firstLine="420" w:firstLineChars="200"/>
    </w:pPr>
  </w:style>
  <w:style w:type="character" w:customStyle="1" w:styleId="11">
    <w:name w:val="页眉 Char"/>
    <w:basedOn w:val="8"/>
    <w:link w:val="4"/>
    <w:semiHidden/>
    <w:qFormat/>
    <w:uiPriority w:val="99"/>
    <w:rPr>
      <w:rFonts w:ascii="Times New Roman" w:hAnsi="Times New Roman" w:eastAsia="宋体" w:cs="Times New Roman"/>
      <w:kern w:val="2"/>
      <w:sz w:val="18"/>
      <w:szCs w:val="18"/>
    </w:rPr>
  </w:style>
  <w:style w:type="character" w:customStyle="1" w:styleId="12">
    <w:name w:val="页脚 Char"/>
    <w:basedOn w:val="8"/>
    <w:link w:val="3"/>
    <w:semiHidden/>
    <w:qFormat/>
    <w:uiPriority w:val="99"/>
    <w:rPr>
      <w:rFonts w:ascii="Times New Roman" w:hAnsi="Times New Roman" w:eastAsia="宋体" w:cs="Times New Roman"/>
      <w:kern w:val="2"/>
      <w:sz w:val="18"/>
      <w:szCs w:val="18"/>
    </w:rPr>
  </w:style>
  <w:style w:type="paragraph" w:styleId="13">
    <w:name w:val="List Paragraph"/>
    <w:basedOn w:val="1"/>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1235</Words>
  <Characters>1424</Characters>
  <Lines>10</Lines>
  <Paragraphs>3</Paragraphs>
  <TotalTime>1</TotalTime>
  <ScaleCrop>false</ScaleCrop>
  <LinksUpToDate>false</LinksUpToDate>
  <CharactersWithSpaces>1701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2022-01-13T00:49:00Z</dcterms:created>
  <dc:creator>未定义</dc:creator>
  <cp:lastModifiedBy>吉瑞康</cp:lastModifiedBy>
  <dcterms:modified xsi:type="dcterms:W3CDTF">2023-03-16T03:56:03Z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84C55284E3EC40B191082F8427CC05F1</vt:lpwstr>
  </property>
</Properties>
</file>