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宋体" w:hAnsi="宋体" w:eastAsia="宋体" w:cs="宋体"/>
          <w:b/>
          <w:sz w:val="28"/>
          <w:szCs w:val="28"/>
        </w:rPr>
      </w:pPr>
      <w:bookmarkStart w:id="0" w:name="_Toc27834"/>
      <w:r>
        <w:rPr>
          <w:rFonts w:hint="eastAsia" w:ascii="宋体" w:hAnsi="宋体" w:eastAsia="宋体" w:cs="宋体"/>
          <w:b/>
          <w:sz w:val="28"/>
          <w:szCs w:val="28"/>
        </w:rPr>
        <w:t>招标公告</w:t>
      </w:r>
      <w:bookmarkEnd w:id="0"/>
    </w:p>
    <w:p>
      <w:pPr>
        <w:pStyle w:val="21"/>
        <w:numPr>
          <w:ilvl w:val="0"/>
          <w:numId w:val="1"/>
        </w:numPr>
        <w:adjustRightInd w:val="0"/>
        <w:snapToGrid w:val="0"/>
        <w:spacing w:line="360" w:lineRule="exact"/>
        <w:ind w:firstLineChars="0"/>
        <w:contextualSpacing/>
        <w:rPr>
          <w:rFonts w:hint="eastAsia" w:ascii="宋体" w:hAnsi="宋体" w:eastAsia="宋体" w:cs="宋体"/>
          <w:b/>
          <w:sz w:val="28"/>
          <w:szCs w:val="28"/>
        </w:rPr>
      </w:pPr>
      <w:r>
        <w:rPr>
          <w:rFonts w:hint="eastAsia" w:ascii="宋体" w:hAnsi="宋体" w:eastAsia="宋体" w:cs="宋体"/>
          <w:b/>
          <w:sz w:val="28"/>
          <w:szCs w:val="28"/>
        </w:rPr>
        <w:t>项目情况</w:t>
      </w:r>
    </w:p>
    <w:p>
      <w:pPr>
        <w:pStyle w:val="21"/>
        <w:numPr>
          <w:ilvl w:val="1"/>
          <w:numId w:val="1"/>
        </w:numPr>
        <w:adjustRightInd w:val="0"/>
        <w:snapToGrid w:val="0"/>
        <w:spacing w:line="360" w:lineRule="exact"/>
        <w:ind w:firstLineChars="0"/>
        <w:contextualSpacing/>
        <w:rPr>
          <w:rFonts w:hint="eastAsia" w:ascii="宋体" w:hAnsi="宋体" w:eastAsia="宋体" w:cs="宋体"/>
          <w:sz w:val="28"/>
          <w:szCs w:val="28"/>
        </w:rPr>
      </w:pPr>
      <w:r>
        <w:rPr>
          <w:rFonts w:hint="eastAsia" w:ascii="宋体" w:hAnsi="宋体" w:eastAsia="宋体" w:cs="宋体"/>
          <w:sz w:val="28"/>
          <w:szCs w:val="28"/>
        </w:rPr>
        <w:t>项目编号：HGJY-G2023030</w:t>
      </w:r>
    </w:p>
    <w:p>
      <w:pPr>
        <w:pStyle w:val="21"/>
        <w:numPr>
          <w:ilvl w:val="1"/>
          <w:numId w:val="1"/>
        </w:numPr>
        <w:adjustRightInd w:val="0"/>
        <w:snapToGrid w:val="0"/>
        <w:spacing w:line="360" w:lineRule="exact"/>
        <w:ind w:firstLineChars="0"/>
        <w:contextualSpacing/>
        <w:rPr>
          <w:rFonts w:hint="eastAsia" w:ascii="宋体" w:hAnsi="宋体" w:eastAsia="宋体" w:cs="宋体"/>
          <w:sz w:val="28"/>
          <w:szCs w:val="28"/>
        </w:rPr>
      </w:pPr>
      <w:r>
        <w:rPr>
          <w:rFonts w:hint="eastAsia" w:ascii="宋体" w:hAnsi="宋体" w:eastAsia="宋体" w:cs="宋体"/>
          <w:sz w:val="28"/>
          <w:szCs w:val="28"/>
        </w:rPr>
        <w:t>项目名称：2023年4-6月份炼铁用白云石粉招标采购项目</w:t>
      </w:r>
    </w:p>
    <w:p>
      <w:pPr>
        <w:pStyle w:val="21"/>
        <w:numPr>
          <w:ilvl w:val="1"/>
          <w:numId w:val="1"/>
        </w:numPr>
        <w:adjustRightInd w:val="0"/>
        <w:snapToGrid w:val="0"/>
        <w:spacing w:line="360" w:lineRule="exact"/>
        <w:ind w:firstLineChars="0"/>
        <w:contextualSpacing/>
        <w:rPr>
          <w:rFonts w:hint="eastAsia" w:ascii="宋体" w:hAnsi="宋体" w:eastAsia="宋体" w:cs="宋体"/>
          <w:sz w:val="28"/>
          <w:szCs w:val="28"/>
        </w:rPr>
      </w:pPr>
      <w:r>
        <w:rPr>
          <w:rFonts w:hint="eastAsia" w:ascii="宋体" w:hAnsi="宋体" w:eastAsia="宋体" w:cs="宋体"/>
          <w:sz w:val="28"/>
          <w:szCs w:val="28"/>
        </w:rPr>
        <w:t>项目单位：衡阳华菱连轧管有限公司</w:t>
      </w:r>
    </w:p>
    <w:p>
      <w:pPr>
        <w:pStyle w:val="21"/>
        <w:numPr>
          <w:ilvl w:val="1"/>
          <w:numId w:val="1"/>
        </w:numPr>
        <w:adjustRightInd w:val="0"/>
        <w:snapToGrid w:val="0"/>
        <w:spacing w:line="360" w:lineRule="exact"/>
        <w:ind w:firstLineChars="0"/>
        <w:contextualSpacing/>
        <w:rPr>
          <w:rFonts w:hint="eastAsia" w:ascii="宋体" w:hAnsi="宋体" w:eastAsia="宋体" w:cs="宋体"/>
          <w:sz w:val="28"/>
          <w:szCs w:val="28"/>
        </w:rPr>
      </w:pPr>
      <w:r>
        <w:rPr>
          <w:rFonts w:hint="eastAsia" w:ascii="宋体" w:hAnsi="宋体" w:eastAsia="宋体" w:cs="宋体"/>
          <w:sz w:val="28"/>
          <w:szCs w:val="28"/>
        </w:rPr>
        <w:t>招标货物名称、数量、主要技术参数、交货时间及交货地点：</w:t>
      </w:r>
    </w:p>
    <w:p>
      <w:pPr>
        <w:pStyle w:val="21"/>
        <w:adjustRightInd w:val="0"/>
        <w:snapToGrid w:val="0"/>
        <w:spacing w:line="360" w:lineRule="exact"/>
        <w:ind w:left="851" w:firstLine="0" w:firstLineChars="0"/>
        <w:rPr>
          <w:rFonts w:hint="eastAsia" w:ascii="宋体" w:hAnsi="宋体" w:eastAsia="宋体" w:cs="宋体"/>
          <w:sz w:val="28"/>
          <w:szCs w:val="28"/>
        </w:rPr>
      </w:pPr>
      <w:r>
        <w:rPr>
          <w:rFonts w:hint="eastAsia" w:ascii="宋体" w:hAnsi="宋体" w:eastAsia="宋体" w:cs="宋体"/>
          <w:sz w:val="28"/>
          <w:szCs w:val="28"/>
        </w:rPr>
        <w:t>货物名称：炼铁用白云石粉</w:t>
      </w:r>
    </w:p>
    <w:p>
      <w:pPr>
        <w:pStyle w:val="21"/>
        <w:adjustRightInd w:val="0"/>
        <w:snapToGrid w:val="0"/>
        <w:spacing w:line="360" w:lineRule="exact"/>
        <w:ind w:left="851" w:firstLine="0" w:firstLineChars="0"/>
        <w:rPr>
          <w:rFonts w:hint="eastAsia" w:ascii="宋体" w:hAnsi="宋体" w:eastAsia="宋体" w:cs="宋体"/>
          <w:sz w:val="28"/>
          <w:szCs w:val="28"/>
        </w:rPr>
      </w:pPr>
      <w:r>
        <w:rPr>
          <w:rFonts w:hint="eastAsia" w:ascii="宋体" w:hAnsi="宋体" w:eastAsia="宋体" w:cs="宋体"/>
          <w:sz w:val="28"/>
          <w:szCs w:val="28"/>
        </w:rPr>
        <w:t>数    量：约30000吨，具体数量以炼铁厂计划为准</w:t>
      </w:r>
    </w:p>
    <w:p>
      <w:pPr>
        <w:pStyle w:val="21"/>
        <w:adjustRightInd w:val="0"/>
        <w:snapToGrid w:val="0"/>
        <w:spacing w:line="360" w:lineRule="exact"/>
        <w:ind w:left="851" w:firstLine="0" w:firstLineChars="0"/>
        <w:rPr>
          <w:rFonts w:hint="eastAsia" w:ascii="宋体" w:hAnsi="宋体" w:eastAsia="宋体" w:cs="宋体"/>
          <w:sz w:val="28"/>
          <w:szCs w:val="28"/>
        </w:rPr>
      </w:pPr>
      <w:r>
        <w:rPr>
          <w:rFonts w:hint="eastAsia" w:ascii="宋体" w:hAnsi="宋体" w:eastAsia="宋体" w:cs="宋体"/>
          <w:sz w:val="28"/>
          <w:szCs w:val="28"/>
        </w:rPr>
        <w:t xml:space="preserve">交付时间：2022年4-6月  </w:t>
      </w:r>
    </w:p>
    <w:p>
      <w:pPr>
        <w:pStyle w:val="21"/>
        <w:adjustRightInd w:val="0"/>
        <w:snapToGrid w:val="0"/>
        <w:spacing w:line="360" w:lineRule="exact"/>
        <w:ind w:left="851" w:firstLine="0" w:firstLineChars="0"/>
        <w:rPr>
          <w:rFonts w:hint="eastAsia" w:ascii="宋体" w:hAnsi="宋体" w:eastAsia="宋体" w:cs="宋体"/>
          <w:sz w:val="28"/>
          <w:szCs w:val="28"/>
        </w:rPr>
      </w:pPr>
      <w:r>
        <w:rPr>
          <w:rFonts w:hint="eastAsia" w:ascii="宋体" w:hAnsi="宋体" w:eastAsia="宋体" w:cs="宋体"/>
          <w:sz w:val="28"/>
          <w:szCs w:val="28"/>
        </w:rPr>
        <w:t>交付地点：衡阳华菱连轧管有限公司</w:t>
      </w:r>
    </w:p>
    <w:p>
      <w:pPr>
        <w:pStyle w:val="21"/>
        <w:numPr>
          <w:ilvl w:val="0"/>
          <w:numId w:val="1"/>
        </w:numPr>
        <w:adjustRightInd w:val="0"/>
        <w:snapToGrid w:val="0"/>
        <w:spacing w:line="360" w:lineRule="exact"/>
        <w:ind w:left="17" w:hanging="17" w:firstLineChars="0"/>
        <w:contextualSpacing/>
        <w:jc w:val="left"/>
        <w:rPr>
          <w:rFonts w:hint="eastAsia" w:ascii="宋体" w:hAnsi="宋体" w:eastAsia="宋体" w:cs="宋体"/>
          <w:sz w:val="28"/>
          <w:szCs w:val="28"/>
        </w:rPr>
      </w:pPr>
      <w:r>
        <w:rPr>
          <w:rFonts w:hint="eastAsia" w:ascii="宋体" w:hAnsi="宋体" w:eastAsia="宋体" w:cs="宋体"/>
          <w:b/>
          <w:sz w:val="28"/>
          <w:szCs w:val="28"/>
        </w:rPr>
        <w:t>满足以下条件之一即可投标：</w:t>
      </w:r>
    </w:p>
    <w:p>
      <w:pPr>
        <w:pStyle w:val="21"/>
        <w:tabs>
          <w:tab w:val="left" w:pos="851"/>
        </w:tabs>
        <w:adjustRightInd w:val="0"/>
        <w:snapToGrid w:val="0"/>
        <w:spacing w:line="360" w:lineRule="exact"/>
        <w:ind w:left="17" w:firstLine="0" w:firstLineChars="0"/>
        <w:contextualSpacing/>
        <w:jc w:val="left"/>
        <w:rPr>
          <w:rFonts w:hint="eastAsia" w:ascii="宋体" w:hAnsi="宋体" w:eastAsia="宋体" w:cs="宋体"/>
          <w:sz w:val="28"/>
          <w:szCs w:val="28"/>
        </w:rPr>
      </w:pPr>
      <w:r>
        <w:rPr>
          <w:rFonts w:hint="eastAsia" w:ascii="宋体" w:hAnsi="宋体" w:eastAsia="宋体" w:cs="宋体"/>
          <w:sz w:val="28"/>
          <w:szCs w:val="28"/>
        </w:rPr>
        <w:t xml:space="preserve">2.1需方合格供方，且具备白云石粉供货资质（已被需方列入黑名单或暂停供货资质的供方不可参标）。                                                                                                         </w:t>
      </w:r>
    </w:p>
    <w:p>
      <w:pPr>
        <w:pStyle w:val="21"/>
        <w:adjustRightInd w:val="0"/>
        <w:snapToGrid w:val="0"/>
        <w:spacing w:line="360" w:lineRule="exact"/>
        <w:ind w:left="2" w:firstLine="0" w:firstLineChars="0"/>
        <w:contextualSpacing/>
        <w:jc w:val="left"/>
        <w:rPr>
          <w:rFonts w:hint="eastAsia" w:ascii="宋体" w:hAnsi="宋体" w:eastAsia="宋体" w:cs="宋体"/>
          <w:b/>
          <w:sz w:val="28"/>
          <w:szCs w:val="28"/>
        </w:rPr>
      </w:pPr>
      <w:r>
        <w:rPr>
          <w:rFonts w:hint="eastAsia" w:ascii="宋体" w:hAnsi="宋体" w:eastAsia="宋体" w:cs="宋体"/>
          <w:sz w:val="28"/>
          <w:szCs w:val="28"/>
        </w:rPr>
        <w:t xml:space="preserve">2.2为华菱湘钢、涟钢白云石粉合格供方（提供1份近2年的合同原件或仅限价格、金额覆盖的原件扫描件），且注册资金不少于200万，成立时间一年及以上。                                                                                                  2.3   为白云石加工企业，具有该产品供货业绩（提供1份近2年的合同原件或仅限价格、金额覆盖的原件扫描件），投标人在法律上和财务上独立并能合法运作，具有法人地位和独立签订合同的能力。注册资金不少于200万，成立时间一年及以上.投标人具有良好的银行资信和商业信誉，没有处于被责令停业或破产状态，且资产未被重组、接管和冻结；投标人营业执照经营范围应包含本次投标标的物范围。                                                                3     </w:t>
      </w:r>
      <w:r>
        <w:rPr>
          <w:rFonts w:hint="eastAsia" w:ascii="宋体" w:hAnsi="宋体" w:eastAsia="宋体" w:cs="宋体"/>
          <w:b/>
          <w:sz w:val="28"/>
          <w:szCs w:val="28"/>
        </w:rPr>
        <w:t>招标文件获取</w:t>
      </w:r>
    </w:p>
    <w:p>
      <w:pPr>
        <w:pStyle w:val="21"/>
        <w:numPr>
          <w:ilvl w:val="1"/>
          <w:numId w:val="2"/>
        </w:numPr>
        <w:tabs>
          <w:tab w:val="left" w:pos="851"/>
        </w:tabs>
        <w:adjustRightInd w:val="0"/>
        <w:snapToGrid w:val="0"/>
        <w:spacing w:line="360" w:lineRule="exact"/>
        <w:ind w:firstLineChars="0"/>
        <w:contextualSpacing/>
        <w:jc w:val="left"/>
        <w:rPr>
          <w:rFonts w:hint="eastAsia" w:ascii="宋体" w:hAnsi="宋体" w:eastAsia="宋体" w:cs="宋体"/>
          <w:sz w:val="28"/>
          <w:szCs w:val="28"/>
        </w:rPr>
      </w:pPr>
      <w:r>
        <w:rPr>
          <w:rFonts w:hint="eastAsia" w:ascii="宋体" w:hAnsi="宋体" w:eastAsia="宋体" w:cs="宋体"/>
          <w:sz w:val="28"/>
          <w:szCs w:val="28"/>
        </w:rPr>
        <w:t xml:space="preserve"> 请各投标人自行在衡阳华菱钢管有限公司网站（http://www.hysteeltube.com/zbgg）下载招标文件、报价清单、技术附件等。</w:t>
      </w:r>
    </w:p>
    <w:p>
      <w:pPr>
        <w:pStyle w:val="21"/>
        <w:numPr>
          <w:ilvl w:val="1"/>
          <w:numId w:val="2"/>
        </w:numPr>
        <w:tabs>
          <w:tab w:val="left" w:pos="851"/>
        </w:tabs>
        <w:adjustRightInd w:val="0"/>
        <w:snapToGrid w:val="0"/>
        <w:spacing w:line="360" w:lineRule="exact"/>
        <w:ind w:firstLineChars="0"/>
        <w:contextualSpacing/>
        <w:jc w:val="left"/>
        <w:rPr>
          <w:rFonts w:hint="eastAsia" w:ascii="宋体" w:hAnsi="宋体" w:eastAsia="宋体" w:cs="宋体"/>
          <w:sz w:val="28"/>
          <w:szCs w:val="28"/>
        </w:rPr>
      </w:pPr>
      <w:r>
        <w:rPr>
          <w:rFonts w:hint="eastAsia" w:ascii="宋体" w:hAnsi="宋体" w:eastAsia="宋体" w:cs="宋体"/>
          <w:sz w:val="28"/>
          <w:szCs w:val="28"/>
        </w:rPr>
        <w:t>请投标单位自行下载或查阅招标文件及相关资料等，恕不另行通知，如有遗漏，招标人概不负责。</w:t>
      </w:r>
    </w:p>
    <w:p>
      <w:pPr>
        <w:pStyle w:val="21"/>
        <w:numPr>
          <w:ilvl w:val="1"/>
          <w:numId w:val="2"/>
        </w:numPr>
        <w:tabs>
          <w:tab w:val="left" w:pos="851"/>
        </w:tabs>
        <w:adjustRightInd w:val="0"/>
        <w:snapToGrid w:val="0"/>
        <w:spacing w:line="360" w:lineRule="exact"/>
        <w:ind w:left="2580" w:hanging="2580" w:firstLineChars="0"/>
        <w:contextualSpacing/>
        <w:rPr>
          <w:rFonts w:hint="eastAsia" w:ascii="宋体" w:hAnsi="宋体" w:eastAsia="宋体" w:cs="宋体"/>
          <w:sz w:val="28"/>
          <w:szCs w:val="28"/>
        </w:rPr>
      </w:pPr>
      <w:r>
        <w:rPr>
          <w:rFonts w:hint="eastAsia" w:ascii="宋体" w:hAnsi="宋体" w:eastAsia="宋体" w:cs="宋体"/>
          <w:sz w:val="28"/>
          <w:szCs w:val="28"/>
        </w:rPr>
        <w:t>招标文件售价200元人民币，扫码支付。</w:t>
      </w:r>
    </w:p>
    <w:p>
      <w:pPr>
        <w:pStyle w:val="21"/>
        <w:numPr>
          <w:ilvl w:val="0"/>
          <w:numId w:val="2"/>
        </w:numPr>
        <w:tabs>
          <w:tab w:val="left" w:pos="851"/>
        </w:tabs>
        <w:adjustRightInd w:val="0"/>
        <w:snapToGrid w:val="0"/>
        <w:spacing w:line="360" w:lineRule="exact"/>
        <w:ind w:left="2582" w:hanging="2580" w:firstLineChars="0"/>
        <w:contextualSpacing/>
        <w:rPr>
          <w:rFonts w:hint="eastAsia" w:ascii="宋体" w:hAnsi="宋体" w:eastAsia="宋体" w:cs="宋体"/>
          <w:b/>
          <w:sz w:val="28"/>
          <w:szCs w:val="28"/>
        </w:rPr>
      </w:pPr>
      <w:r>
        <w:rPr>
          <w:rFonts w:hint="eastAsia" w:ascii="宋体" w:hAnsi="宋体" w:eastAsia="宋体" w:cs="宋体"/>
          <w:b/>
          <w:sz w:val="28"/>
          <w:szCs w:val="28"/>
        </w:rPr>
        <w:t>投标保证金</w:t>
      </w:r>
    </w:p>
    <w:p>
      <w:pPr>
        <w:pStyle w:val="21"/>
        <w:numPr>
          <w:ilvl w:val="1"/>
          <w:numId w:val="2"/>
        </w:numPr>
        <w:tabs>
          <w:tab w:val="left" w:pos="851"/>
        </w:tabs>
        <w:adjustRightInd w:val="0"/>
        <w:snapToGrid w:val="0"/>
        <w:spacing w:line="360" w:lineRule="exact"/>
        <w:ind w:left="2580" w:hanging="2580" w:firstLineChars="0"/>
        <w:contextualSpacing/>
        <w:rPr>
          <w:rFonts w:hint="eastAsia" w:ascii="宋体" w:hAnsi="宋体" w:eastAsia="宋体" w:cs="宋体"/>
          <w:sz w:val="28"/>
          <w:szCs w:val="28"/>
        </w:rPr>
      </w:pPr>
      <w:r>
        <w:rPr>
          <w:rFonts w:hint="eastAsia" w:ascii="宋体" w:hAnsi="宋体" w:eastAsia="宋体" w:cs="宋体"/>
          <w:sz w:val="28"/>
          <w:szCs w:val="28"/>
        </w:rPr>
        <w:t>投标保证金金额：</w:t>
      </w:r>
      <w:r>
        <w:rPr>
          <w:rFonts w:hint="eastAsia" w:ascii="宋体" w:hAnsi="宋体" w:eastAsia="宋体" w:cs="宋体"/>
          <w:sz w:val="28"/>
          <w:szCs w:val="28"/>
          <w:u w:val="single"/>
        </w:rPr>
        <w:t>60000</w:t>
      </w:r>
      <w:r>
        <w:rPr>
          <w:rFonts w:hint="eastAsia" w:ascii="宋体" w:hAnsi="宋体" w:eastAsia="宋体" w:cs="宋体"/>
          <w:sz w:val="28"/>
          <w:szCs w:val="28"/>
        </w:rPr>
        <w:t>元人民币。</w:t>
      </w:r>
    </w:p>
    <w:p>
      <w:pPr>
        <w:pStyle w:val="21"/>
        <w:numPr>
          <w:ilvl w:val="1"/>
          <w:numId w:val="2"/>
        </w:numPr>
        <w:tabs>
          <w:tab w:val="left" w:pos="851"/>
        </w:tabs>
        <w:adjustRightInd w:val="0"/>
        <w:snapToGrid w:val="0"/>
        <w:spacing w:line="360" w:lineRule="exact"/>
        <w:ind w:left="2580" w:hanging="2580" w:firstLineChars="0"/>
        <w:contextualSpacing/>
        <w:rPr>
          <w:rFonts w:hint="eastAsia" w:ascii="宋体" w:hAnsi="宋体" w:eastAsia="宋体" w:cs="宋体"/>
          <w:sz w:val="28"/>
          <w:szCs w:val="28"/>
        </w:rPr>
      </w:pPr>
      <w:r>
        <w:rPr>
          <w:rFonts w:hint="eastAsia" w:ascii="宋体" w:hAnsi="宋体" w:eastAsia="宋体" w:cs="宋体"/>
          <w:sz w:val="28"/>
          <w:szCs w:val="28"/>
        </w:rPr>
        <w:t>投标保证金缴纳截止时间为投标截止时间。</w:t>
      </w:r>
    </w:p>
    <w:p>
      <w:pPr>
        <w:pStyle w:val="21"/>
        <w:numPr>
          <w:ilvl w:val="1"/>
          <w:numId w:val="2"/>
        </w:numPr>
        <w:tabs>
          <w:tab w:val="left" w:pos="851"/>
        </w:tabs>
        <w:adjustRightInd w:val="0"/>
        <w:snapToGrid w:val="0"/>
        <w:spacing w:line="360" w:lineRule="exact"/>
        <w:ind w:left="2580" w:hanging="2580" w:firstLineChars="0"/>
        <w:contextualSpacing/>
        <w:rPr>
          <w:rFonts w:hint="eastAsia" w:ascii="宋体" w:hAnsi="宋体" w:eastAsia="宋体" w:cs="宋体"/>
          <w:sz w:val="28"/>
          <w:szCs w:val="28"/>
        </w:rPr>
      </w:pPr>
      <w:r>
        <w:rPr>
          <w:rFonts w:hint="eastAsia" w:ascii="宋体" w:hAnsi="宋体" w:eastAsia="宋体" w:cs="宋体"/>
          <w:sz w:val="28"/>
          <w:szCs w:val="28"/>
        </w:rPr>
        <w:t>投标保证金缴纳方式：电汇、转账或投标单位在衡钢的应收款。</w:t>
      </w:r>
    </w:p>
    <w:p>
      <w:pPr>
        <w:adjustRightInd w:val="0"/>
        <w:snapToGrid w:val="0"/>
        <w:spacing w:line="360" w:lineRule="exact"/>
        <w:ind w:left="850" w:leftChars="405"/>
        <w:contextualSpacing/>
        <w:rPr>
          <w:rFonts w:hint="eastAsia" w:ascii="宋体" w:hAnsi="宋体" w:eastAsia="宋体" w:cs="宋体"/>
          <w:sz w:val="28"/>
          <w:szCs w:val="28"/>
        </w:rPr>
      </w:pPr>
      <w:r>
        <w:rPr>
          <w:rFonts w:hint="eastAsia" w:ascii="宋体" w:hAnsi="宋体" w:eastAsia="宋体" w:cs="宋体"/>
          <w:sz w:val="28"/>
          <w:szCs w:val="28"/>
        </w:rPr>
        <w:t xml:space="preserve">开户行：工行衡阳银雁支行    </w:t>
      </w:r>
    </w:p>
    <w:p>
      <w:pPr>
        <w:adjustRightInd w:val="0"/>
        <w:snapToGrid w:val="0"/>
        <w:spacing w:line="360" w:lineRule="exact"/>
        <w:ind w:left="850" w:leftChars="405"/>
        <w:contextualSpacing/>
        <w:rPr>
          <w:rFonts w:hint="eastAsia" w:ascii="宋体" w:hAnsi="宋体" w:eastAsia="宋体" w:cs="宋体"/>
          <w:sz w:val="28"/>
          <w:szCs w:val="28"/>
        </w:rPr>
      </w:pPr>
      <w:r>
        <w:rPr>
          <w:rFonts w:hint="eastAsia" w:ascii="宋体" w:hAnsi="宋体" w:eastAsia="宋体" w:cs="宋体"/>
          <w:sz w:val="28"/>
          <w:szCs w:val="28"/>
        </w:rPr>
        <w:t>开户名：衡阳华菱连轧管有限公司</w:t>
      </w:r>
    </w:p>
    <w:p>
      <w:pPr>
        <w:adjustRightInd w:val="0"/>
        <w:snapToGrid w:val="0"/>
        <w:spacing w:line="360" w:lineRule="exact"/>
        <w:ind w:left="850" w:leftChars="405"/>
        <w:contextualSpacing/>
        <w:rPr>
          <w:rFonts w:hint="eastAsia" w:ascii="宋体" w:hAnsi="宋体" w:eastAsia="宋体" w:cs="宋体"/>
          <w:sz w:val="28"/>
          <w:szCs w:val="28"/>
        </w:rPr>
      </w:pPr>
      <w:r>
        <w:rPr>
          <w:rFonts w:hint="eastAsia" w:ascii="宋体" w:hAnsi="宋体" w:eastAsia="宋体" w:cs="宋体"/>
          <w:sz w:val="28"/>
          <w:szCs w:val="28"/>
        </w:rPr>
        <w:t>帐  号：1905022319020105051</w:t>
      </w:r>
    </w:p>
    <w:p>
      <w:pPr>
        <w:pStyle w:val="21"/>
        <w:numPr>
          <w:ilvl w:val="1"/>
          <w:numId w:val="2"/>
        </w:numPr>
        <w:tabs>
          <w:tab w:val="left" w:pos="851"/>
        </w:tabs>
        <w:adjustRightInd w:val="0"/>
        <w:snapToGrid w:val="0"/>
        <w:spacing w:line="360" w:lineRule="exact"/>
        <w:ind w:firstLineChars="0"/>
        <w:contextualSpacing/>
        <w:rPr>
          <w:rFonts w:hint="eastAsia" w:ascii="宋体" w:hAnsi="宋体" w:eastAsia="宋体" w:cs="宋体"/>
          <w:sz w:val="28"/>
          <w:szCs w:val="28"/>
        </w:rPr>
      </w:pPr>
      <w:r>
        <w:rPr>
          <w:rFonts w:hint="eastAsia" w:ascii="宋体" w:hAnsi="宋体" w:eastAsia="宋体" w:cs="宋体"/>
          <w:sz w:val="28"/>
          <w:szCs w:val="28"/>
        </w:rPr>
        <w:t>投标人未按要求缴纳投标保证金，由评委会初审后作无效投标文件处理，其可能造成的损失由投标人自行承担。</w:t>
      </w:r>
    </w:p>
    <w:p>
      <w:pPr>
        <w:pStyle w:val="21"/>
        <w:numPr>
          <w:ilvl w:val="0"/>
          <w:numId w:val="2"/>
        </w:numPr>
        <w:tabs>
          <w:tab w:val="left" w:pos="851"/>
        </w:tabs>
        <w:adjustRightInd w:val="0"/>
        <w:snapToGrid w:val="0"/>
        <w:spacing w:line="360" w:lineRule="exact"/>
        <w:ind w:left="2582" w:hanging="2580" w:firstLineChars="0"/>
        <w:contextualSpacing/>
        <w:rPr>
          <w:rFonts w:hint="eastAsia" w:ascii="宋体" w:hAnsi="宋体" w:eastAsia="宋体" w:cs="宋体"/>
          <w:b/>
          <w:sz w:val="28"/>
          <w:szCs w:val="28"/>
        </w:rPr>
      </w:pPr>
      <w:r>
        <w:rPr>
          <w:rFonts w:hint="eastAsia" w:ascii="宋体" w:hAnsi="宋体" w:eastAsia="宋体" w:cs="宋体"/>
          <w:b/>
          <w:sz w:val="28"/>
          <w:szCs w:val="28"/>
        </w:rPr>
        <w:t>投标和开标</w:t>
      </w:r>
    </w:p>
    <w:p>
      <w:pPr>
        <w:pStyle w:val="21"/>
        <w:numPr>
          <w:ilvl w:val="1"/>
          <w:numId w:val="2"/>
        </w:numPr>
        <w:tabs>
          <w:tab w:val="left" w:pos="851"/>
        </w:tabs>
        <w:adjustRightInd w:val="0"/>
        <w:snapToGrid w:val="0"/>
        <w:spacing w:line="360" w:lineRule="exact"/>
        <w:ind w:firstLineChars="0"/>
        <w:contextualSpacing/>
        <w:rPr>
          <w:rFonts w:hint="eastAsia" w:ascii="宋体" w:hAnsi="宋体" w:eastAsia="宋体" w:cs="宋体"/>
          <w:sz w:val="28"/>
          <w:szCs w:val="28"/>
        </w:rPr>
      </w:pPr>
      <w:r>
        <w:rPr>
          <w:rFonts w:hint="eastAsia" w:ascii="宋体" w:hAnsi="宋体" w:eastAsia="宋体" w:cs="宋体"/>
          <w:sz w:val="28"/>
          <w:szCs w:val="28"/>
        </w:rPr>
        <w:t>投标文件递交截止时间及开标时间：</w:t>
      </w:r>
      <w:r>
        <w:rPr>
          <w:rFonts w:hint="eastAsia" w:ascii="宋体" w:hAnsi="宋体" w:eastAsia="宋体" w:cs="宋体"/>
          <w:b/>
          <w:bCs/>
          <w:sz w:val="28"/>
          <w:szCs w:val="28"/>
          <w:highlight w:val="yellow"/>
          <w:u w:val="single"/>
        </w:rPr>
        <w:t>2023年</w:t>
      </w:r>
      <w:r>
        <w:rPr>
          <w:rFonts w:hint="eastAsia" w:ascii="宋体" w:hAnsi="宋体" w:eastAsia="宋体" w:cs="宋体"/>
          <w:b/>
          <w:bCs/>
          <w:sz w:val="28"/>
          <w:szCs w:val="28"/>
          <w:highlight w:val="yellow"/>
          <w:u w:val="single"/>
          <w:lang w:val="en-US" w:eastAsia="zh-CN"/>
        </w:rPr>
        <w:t>3</w:t>
      </w:r>
      <w:r>
        <w:rPr>
          <w:rFonts w:hint="eastAsia" w:ascii="宋体" w:hAnsi="宋体" w:eastAsia="宋体" w:cs="宋体"/>
          <w:b/>
          <w:bCs/>
          <w:sz w:val="28"/>
          <w:szCs w:val="28"/>
          <w:highlight w:val="yellow"/>
          <w:u w:val="single"/>
        </w:rPr>
        <w:t>月</w:t>
      </w:r>
      <w:r>
        <w:rPr>
          <w:rFonts w:hint="eastAsia" w:ascii="宋体" w:hAnsi="宋体" w:eastAsia="宋体" w:cs="宋体"/>
          <w:b/>
          <w:bCs/>
          <w:sz w:val="28"/>
          <w:szCs w:val="28"/>
          <w:highlight w:val="yellow"/>
          <w:u w:val="single"/>
          <w:lang w:val="en-US" w:eastAsia="zh-CN"/>
        </w:rPr>
        <w:t>30</w:t>
      </w:r>
      <w:r>
        <w:rPr>
          <w:rFonts w:hint="eastAsia" w:ascii="宋体" w:hAnsi="宋体" w:eastAsia="宋体" w:cs="宋体"/>
          <w:b/>
          <w:bCs/>
          <w:sz w:val="28"/>
          <w:szCs w:val="28"/>
          <w:highlight w:val="yellow"/>
          <w:u w:val="single"/>
        </w:rPr>
        <w:t>日</w:t>
      </w:r>
      <w:r>
        <w:rPr>
          <w:rFonts w:hint="eastAsia" w:ascii="宋体" w:hAnsi="宋体" w:eastAsia="宋体" w:cs="宋体"/>
          <w:b/>
          <w:bCs/>
          <w:sz w:val="28"/>
          <w:szCs w:val="28"/>
          <w:highlight w:val="yellow"/>
          <w:u w:val="single"/>
          <w:lang w:val="en-US" w:eastAsia="zh-CN"/>
        </w:rPr>
        <w:t>上</w:t>
      </w:r>
      <w:r>
        <w:rPr>
          <w:rFonts w:hint="eastAsia" w:ascii="宋体" w:hAnsi="宋体" w:eastAsia="宋体" w:cs="宋体"/>
          <w:b/>
          <w:bCs/>
          <w:sz w:val="28"/>
          <w:szCs w:val="28"/>
          <w:highlight w:val="yellow"/>
          <w:u w:val="single"/>
        </w:rPr>
        <w:t>午</w:t>
      </w:r>
      <w:r>
        <w:rPr>
          <w:rFonts w:hint="eastAsia" w:ascii="宋体" w:hAnsi="宋体" w:eastAsia="宋体" w:cs="宋体"/>
          <w:b/>
          <w:bCs/>
          <w:sz w:val="28"/>
          <w:szCs w:val="28"/>
          <w:highlight w:val="yellow"/>
          <w:u w:val="single"/>
          <w:lang w:val="en-US" w:eastAsia="zh-CN"/>
        </w:rPr>
        <w:t>11</w:t>
      </w:r>
      <w:r>
        <w:rPr>
          <w:rFonts w:hint="eastAsia" w:ascii="宋体" w:hAnsi="宋体" w:eastAsia="宋体" w:cs="宋体"/>
          <w:b/>
          <w:bCs/>
          <w:sz w:val="28"/>
          <w:szCs w:val="28"/>
          <w:highlight w:val="yellow"/>
          <w:u w:val="single"/>
        </w:rPr>
        <w:t>:</w:t>
      </w:r>
      <w:r>
        <w:rPr>
          <w:rFonts w:hint="eastAsia" w:ascii="宋体" w:hAnsi="宋体" w:eastAsia="宋体" w:cs="宋体"/>
          <w:b/>
          <w:bCs/>
          <w:sz w:val="28"/>
          <w:szCs w:val="28"/>
          <w:highlight w:val="yellow"/>
          <w:u w:val="single"/>
          <w:lang w:val="en-US" w:eastAsia="zh-CN"/>
        </w:rPr>
        <w:t>0</w:t>
      </w:r>
      <w:r>
        <w:rPr>
          <w:rFonts w:hint="eastAsia" w:ascii="宋体" w:hAnsi="宋体" w:eastAsia="宋体" w:cs="宋体"/>
          <w:b/>
          <w:bCs/>
          <w:sz w:val="28"/>
          <w:szCs w:val="28"/>
          <w:highlight w:val="yellow"/>
          <w:u w:val="single"/>
        </w:rPr>
        <w:t>0</w:t>
      </w:r>
    </w:p>
    <w:p>
      <w:pPr>
        <w:pStyle w:val="21"/>
        <w:numPr>
          <w:ilvl w:val="1"/>
          <w:numId w:val="2"/>
        </w:numPr>
        <w:tabs>
          <w:tab w:val="left" w:pos="851"/>
        </w:tabs>
        <w:adjustRightInd w:val="0"/>
        <w:snapToGrid w:val="0"/>
        <w:spacing w:line="360" w:lineRule="exact"/>
        <w:ind w:firstLineChars="0"/>
        <w:contextualSpacing/>
        <w:rPr>
          <w:rFonts w:hint="eastAsia" w:ascii="宋体" w:hAnsi="宋体" w:eastAsia="宋体" w:cs="宋体"/>
          <w:sz w:val="28"/>
          <w:szCs w:val="28"/>
        </w:rPr>
      </w:pPr>
      <w:r>
        <w:rPr>
          <w:rFonts w:hint="eastAsia" w:ascii="宋体" w:hAnsi="宋体" w:eastAsia="宋体" w:cs="宋体"/>
          <w:sz w:val="28"/>
          <w:szCs w:val="28"/>
        </w:rPr>
        <w:t>投标文件递交及开标地点：衡阳华菱钢管有限公司西办公楼三楼开标</w:t>
      </w:r>
      <w:r>
        <w:rPr>
          <w:rFonts w:hint="eastAsia" w:ascii="宋体" w:hAnsi="宋体" w:eastAsia="宋体" w:cs="宋体"/>
          <w:sz w:val="28"/>
          <w:szCs w:val="28"/>
          <w:lang w:val="en-US" w:eastAsia="zh-CN"/>
        </w:rPr>
        <w:t>一</w:t>
      </w:r>
      <w:r>
        <w:rPr>
          <w:rFonts w:hint="eastAsia" w:ascii="宋体" w:hAnsi="宋体" w:eastAsia="宋体" w:cs="宋体"/>
          <w:sz w:val="28"/>
          <w:szCs w:val="28"/>
        </w:rPr>
        <w:t xml:space="preserve">室（采购部三楼）                  </w:t>
      </w:r>
    </w:p>
    <w:p>
      <w:pPr>
        <w:pStyle w:val="21"/>
        <w:numPr>
          <w:ilvl w:val="1"/>
          <w:numId w:val="2"/>
        </w:numPr>
        <w:tabs>
          <w:tab w:val="left" w:pos="851"/>
        </w:tabs>
        <w:adjustRightInd w:val="0"/>
        <w:snapToGrid w:val="0"/>
        <w:spacing w:line="360" w:lineRule="exact"/>
        <w:ind w:firstLineChars="0"/>
        <w:contextualSpacing/>
        <w:rPr>
          <w:rFonts w:hint="eastAsia" w:ascii="宋体" w:hAnsi="宋体" w:eastAsia="宋体" w:cs="宋体"/>
          <w:sz w:val="28"/>
          <w:szCs w:val="28"/>
        </w:rPr>
      </w:pPr>
      <w:r>
        <w:rPr>
          <w:rFonts w:hint="eastAsia" w:ascii="宋体" w:hAnsi="宋体" w:eastAsia="宋体" w:cs="宋体"/>
          <w:sz w:val="28"/>
          <w:szCs w:val="28"/>
        </w:rPr>
        <w:t>逾期送达的或者未送达指定地点或未按要求密封和加写标记的投标文件，招标人不予受理。</w:t>
      </w:r>
    </w:p>
    <w:p>
      <w:pPr>
        <w:pStyle w:val="21"/>
        <w:numPr>
          <w:ilvl w:val="0"/>
          <w:numId w:val="2"/>
        </w:numPr>
        <w:tabs>
          <w:tab w:val="left" w:pos="851"/>
        </w:tabs>
        <w:adjustRightInd w:val="0"/>
        <w:snapToGrid w:val="0"/>
        <w:spacing w:line="360" w:lineRule="exact"/>
        <w:ind w:firstLineChars="0"/>
        <w:contextualSpacing/>
        <w:rPr>
          <w:rFonts w:hint="eastAsia" w:ascii="宋体" w:hAnsi="宋体" w:eastAsia="宋体" w:cs="宋体"/>
          <w:b/>
          <w:sz w:val="28"/>
          <w:szCs w:val="28"/>
        </w:rPr>
      </w:pPr>
      <w:r>
        <w:rPr>
          <w:rFonts w:hint="eastAsia" w:ascii="宋体" w:hAnsi="宋体" w:eastAsia="宋体" w:cs="宋体"/>
          <w:b/>
          <w:sz w:val="28"/>
          <w:szCs w:val="28"/>
        </w:rPr>
        <w:t>评标办法</w:t>
      </w:r>
    </w:p>
    <w:p>
      <w:pPr>
        <w:pStyle w:val="21"/>
        <w:adjustRightInd w:val="0"/>
        <w:snapToGrid w:val="0"/>
        <w:spacing w:line="360" w:lineRule="exact"/>
        <w:ind w:left="851" w:firstLine="0" w:firstLineChars="0"/>
        <w:contextualSpacing/>
        <w:rPr>
          <w:rFonts w:hint="eastAsia" w:ascii="宋体" w:hAnsi="宋体" w:eastAsia="宋体" w:cs="宋体"/>
          <w:sz w:val="28"/>
          <w:szCs w:val="28"/>
        </w:rPr>
      </w:pPr>
      <w:r>
        <w:rPr>
          <w:rFonts w:hint="eastAsia" w:ascii="宋体" w:hAnsi="宋体" w:eastAsia="宋体" w:cs="宋体"/>
          <w:sz w:val="28"/>
          <w:szCs w:val="28"/>
        </w:rPr>
        <w:t>本项目采用经评审的最低价中标法。</w:t>
      </w:r>
    </w:p>
    <w:p>
      <w:pPr>
        <w:pStyle w:val="21"/>
        <w:numPr>
          <w:ilvl w:val="0"/>
          <w:numId w:val="2"/>
        </w:numPr>
        <w:tabs>
          <w:tab w:val="left" w:pos="851"/>
        </w:tabs>
        <w:adjustRightInd w:val="0"/>
        <w:snapToGrid w:val="0"/>
        <w:spacing w:line="360" w:lineRule="exact"/>
        <w:ind w:firstLineChars="0"/>
        <w:contextualSpacing/>
        <w:rPr>
          <w:rFonts w:hint="eastAsia" w:ascii="宋体" w:hAnsi="宋体" w:eastAsia="宋体" w:cs="宋体"/>
          <w:b/>
          <w:sz w:val="28"/>
          <w:szCs w:val="28"/>
        </w:rPr>
      </w:pPr>
      <w:r>
        <w:rPr>
          <w:rFonts w:hint="eastAsia" w:ascii="宋体" w:hAnsi="宋体" w:eastAsia="宋体" w:cs="宋体"/>
          <w:b/>
          <w:sz w:val="28"/>
          <w:szCs w:val="28"/>
        </w:rPr>
        <w:t>公告媒介</w:t>
      </w:r>
    </w:p>
    <w:p>
      <w:pPr>
        <w:pStyle w:val="21"/>
        <w:adjustRightInd w:val="0"/>
        <w:snapToGrid w:val="0"/>
        <w:spacing w:line="360" w:lineRule="exact"/>
        <w:ind w:left="851" w:firstLine="0" w:firstLineChars="0"/>
        <w:contextualSpacing/>
        <w:rPr>
          <w:rFonts w:hint="eastAsia" w:ascii="宋体" w:hAnsi="宋体" w:eastAsia="宋体" w:cs="宋体"/>
          <w:sz w:val="28"/>
          <w:szCs w:val="28"/>
        </w:rPr>
      </w:pPr>
      <w:r>
        <w:rPr>
          <w:rFonts w:hint="eastAsia" w:ascii="宋体" w:hAnsi="宋体" w:eastAsia="宋体" w:cs="宋体"/>
          <w:sz w:val="28"/>
          <w:szCs w:val="28"/>
        </w:rPr>
        <w:t>本次招标公告在衡阳华菱钢管有限公司网站（http://www.hysteeltube.com/zbgg）上发布。</w:t>
      </w:r>
    </w:p>
    <w:p>
      <w:pPr>
        <w:pStyle w:val="21"/>
        <w:numPr>
          <w:ilvl w:val="0"/>
          <w:numId w:val="2"/>
        </w:numPr>
        <w:tabs>
          <w:tab w:val="left" w:pos="851"/>
        </w:tabs>
        <w:adjustRightInd w:val="0"/>
        <w:snapToGrid w:val="0"/>
        <w:spacing w:line="360" w:lineRule="exact"/>
        <w:ind w:firstLineChars="0"/>
        <w:contextualSpacing/>
        <w:rPr>
          <w:rFonts w:hint="eastAsia" w:ascii="宋体" w:hAnsi="宋体" w:eastAsia="宋体" w:cs="宋体"/>
          <w:b/>
          <w:sz w:val="28"/>
          <w:szCs w:val="28"/>
        </w:rPr>
      </w:pPr>
      <w:r>
        <w:rPr>
          <w:rFonts w:hint="eastAsia" w:ascii="宋体" w:hAnsi="宋体" w:eastAsia="宋体" w:cs="宋体"/>
          <w:b/>
          <w:sz w:val="28"/>
          <w:szCs w:val="28"/>
        </w:rPr>
        <w:t>监督</w:t>
      </w:r>
    </w:p>
    <w:p>
      <w:pPr>
        <w:pStyle w:val="21"/>
        <w:numPr>
          <w:ilvl w:val="0"/>
          <w:numId w:val="2"/>
        </w:numPr>
        <w:tabs>
          <w:tab w:val="left" w:pos="851"/>
        </w:tabs>
        <w:snapToGrid w:val="0"/>
        <w:spacing w:line="400" w:lineRule="exact"/>
        <w:ind w:firstLineChars="0"/>
        <w:rPr>
          <w:rFonts w:hint="eastAsia" w:ascii="宋体" w:hAnsi="宋体" w:eastAsia="宋体" w:cs="宋体"/>
          <w:kern w:val="0"/>
          <w:sz w:val="28"/>
          <w:szCs w:val="28"/>
        </w:rPr>
      </w:pPr>
      <w:r>
        <w:rPr>
          <w:rFonts w:hint="eastAsia" w:ascii="宋体" w:hAnsi="宋体" w:eastAsia="宋体" w:cs="宋体"/>
          <w:sz w:val="28"/>
          <w:szCs w:val="28"/>
        </w:rPr>
        <w:t>本次招投标监督部门为衡阳华菱钢管有限公司</w:t>
      </w:r>
      <w:bookmarkStart w:id="1" w:name="_Toc300677994"/>
      <w:bookmarkStart w:id="2" w:name="_Toc303864862"/>
      <w:r>
        <w:rPr>
          <w:rFonts w:hint="eastAsia" w:ascii="宋体" w:hAnsi="宋体" w:eastAsia="宋体" w:cs="宋体"/>
          <w:sz w:val="28"/>
          <w:szCs w:val="28"/>
        </w:rPr>
        <w:t>纪委，电话：</w:t>
      </w:r>
      <w:bookmarkEnd w:id="1"/>
      <w:bookmarkEnd w:id="2"/>
      <w:r>
        <w:rPr>
          <w:rFonts w:hint="eastAsia" w:ascii="宋体" w:hAnsi="宋体" w:eastAsia="宋体" w:cs="宋体"/>
          <w:kern w:val="0"/>
          <w:sz w:val="28"/>
          <w:szCs w:val="28"/>
        </w:rPr>
        <w:t>0734-8872189</w:t>
      </w:r>
    </w:p>
    <w:p>
      <w:pPr>
        <w:pStyle w:val="21"/>
        <w:numPr>
          <w:ilvl w:val="0"/>
          <w:numId w:val="2"/>
        </w:numPr>
        <w:tabs>
          <w:tab w:val="left" w:pos="851"/>
        </w:tabs>
        <w:adjustRightInd w:val="0"/>
        <w:snapToGrid w:val="0"/>
        <w:spacing w:line="360" w:lineRule="exact"/>
        <w:ind w:firstLineChars="0"/>
        <w:contextualSpacing/>
        <w:rPr>
          <w:rFonts w:hint="eastAsia" w:ascii="宋体" w:hAnsi="宋体" w:eastAsia="宋体" w:cs="宋体"/>
          <w:b/>
          <w:sz w:val="28"/>
          <w:szCs w:val="28"/>
        </w:rPr>
      </w:pPr>
      <w:r>
        <w:rPr>
          <w:rFonts w:hint="eastAsia" w:ascii="宋体" w:hAnsi="宋体" w:eastAsia="宋体" w:cs="宋体"/>
          <w:b/>
          <w:sz w:val="28"/>
          <w:szCs w:val="28"/>
        </w:rPr>
        <w:t>其它</w:t>
      </w:r>
    </w:p>
    <w:p>
      <w:pPr>
        <w:pStyle w:val="21"/>
        <w:adjustRightInd w:val="0"/>
        <w:snapToGrid w:val="0"/>
        <w:spacing w:line="360" w:lineRule="exact"/>
        <w:ind w:left="851" w:firstLine="0" w:firstLineChars="0"/>
        <w:rPr>
          <w:rFonts w:hint="eastAsia" w:ascii="宋体" w:hAnsi="宋体" w:eastAsia="宋体" w:cs="宋体"/>
          <w:sz w:val="28"/>
          <w:szCs w:val="28"/>
        </w:rPr>
      </w:pPr>
      <w:r>
        <w:rPr>
          <w:rFonts w:hint="eastAsia" w:ascii="宋体" w:hAnsi="宋体" w:eastAsia="宋体" w:cs="宋体"/>
          <w:sz w:val="28"/>
          <w:szCs w:val="28"/>
        </w:rPr>
        <w:t>投标人须保证其提供的资格审查申请资料及投标资料的真实性，招标人有权在招标的任何阶段进行调查和核实，一旦发现虚假，将严肃查处。</w:t>
      </w:r>
    </w:p>
    <w:p>
      <w:pPr>
        <w:pStyle w:val="21"/>
        <w:numPr>
          <w:ilvl w:val="0"/>
          <w:numId w:val="2"/>
        </w:numPr>
        <w:tabs>
          <w:tab w:val="left" w:pos="851"/>
        </w:tabs>
        <w:adjustRightInd w:val="0"/>
        <w:snapToGrid w:val="0"/>
        <w:spacing w:line="360" w:lineRule="exact"/>
        <w:ind w:firstLineChars="0"/>
        <w:contextualSpacing/>
        <w:rPr>
          <w:rFonts w:hint="eastAsia" w:ascii="宋体" w:hAnsi="宋体" w:eastAsia="宋体" w:cs="宋体"/>
          <w:b/>
          <w:sz w:val="28"/>
          <w:szCs w:val="28"/>
        </w:rPr>
      </w:pPr>
      <w:r>
        <w:rPr>
          <w:rFonts w:hint="eastAsia" w:ascii="宋体" w:hAnsi="宋体" w:eastAsia="宋体" w:cs="宋体"/>
          <w:b/>
          <w:sz w:val="28"/>
          <w:szCs w:val="28"/>
        </w:rPr>
        <w:t>联系方式：</w:t>
      </w:r>
    </w:p>
    <w:p>
      <w:pPr>
        <w:tabs>
          <w:tab w:val="left" w:pos="840"/>
        </w:tabs>
        <w:snapToGrid w:val="0"/>
        <w:spacing w:line="400" w:lineRule="exact"/>
        <w:ind w:firstLine="840" w:firstLineChars="300"/>
        <w:rPr>
          <w:rFonts w:hint="eastAsia" w:ascii="宋体" w:hAnsi="宋体" w:eastAsia="宋体" w:cs="宋体"/>
          <w:sz w:val="28"/>
          <w:szCs w:val="28"/>
        </w:rPr>
      </w:pPr>
      <w:r>
        <w:rPr>
          <w:rFonts w:hint="eastAsia" w:ascii="宋体" w:hAnsi="宋体" w:eastAsia="宋体" w:cs="宋体"/>
          <w:sz w:val="28"/>
          <w:szCs w:val="28"/>
        </w:rPr>
        <w:t>项目联系人：陈先生</w:t>
      </w:r>
    </w:p>
    <w:p>
      <w:pPr>
        <w:tabs>
          <w:tab w:val="left" w:pos="840"/>
        </w:tabs>
        <w:snapToGrid w:val="0"/>
        <w:spacing w:line="400" w:lineRule="exact"/>
        <w:ind w:firstLine="840" w:firstLineChars="300"/>
        <w:rPr>
          <w:rFonts w:hint="eastAsia" w:ascii="宋体" w:hAnsi="宋体" w:eastAsia="宋体" w:cs="宋体"/>
          <w:sz w:val="28"/>
          <w:szCs w:val="28"/>
        </w:rPr>
      </w:pPr>
      <w:r>
        <w:rPr>
          <w:rFonts w:hint="eastAsia" w:ascii="宋体" w:hAnsi="宋体" w:eastAsia="宋体" w:cs="宋体"/>
          <w:sz w:val="28"/>
          <w:szCs w:val="28"/>
        </w:rPr>
        <w:t>电话：（0734）8875161（办）  　　　　　手机：13575104041</w:t>
      </w:r>
    </w:p>
    <w:p>
      <w:pPr>
        <w:tabs>
          <w:tab w:val="left" w:pos="840"/>
        </w:tabs>
        <w:snapToGrid w:val="0"/>
        <w:spacing w:line="440" w:lineRule="exact"/>
        <w:ind w:firstLine="840" w:firstLineChars="300"/>
        <w:rPr>
          <w:rFonts w:hint="eastAsia" w:ascii="宋体" w:hAnsi="宋体" w:eastAsia="宋体" w:cs="宋体"/>
          <w:sz w:val="28"/>
          <w:szCs w:val="28"/>
        </w:rPr>
      </w:pPr>
      <w:r>
        <w:rPr>
          <w:rFonts w:hint="eastAsia" w:ascii="宋体" w:hAnsi="宋体" w:eastAsia="宋体" w:cs="宋体"/>
          <w:sz w:val="28"/>
          <w:szCs w:val="28"/>
        </w:rPr>
        <w:t>地址：衡阳华菱钢管有限公司采购部</w:t>
      </w:r>
    </w:p>
    <w:p>
      <w:pPr>
        <w:tabs>
          <w:tab w:val="left" w:pos="840"/>
        </w:tabs>
        <w:spacing w:line="440" w:lineRule="exact"/>
        <w:ind w:firstLine="840" w:firstLineChars="300"/>
        <w:rPr>
          <w:rFonts w:hint="eastAsia" w:ascii="宋体" w:hAnsi="宋体" w:eastAsia="宋体" w:cs="宋体"/>
          <w:sz w:val="28"/>
          <w:szCs w:val="28"/>
        </w:rPr>
      </w:pPr>
      <w:r>
        <w:rPr>
          <w:rFonts w:hint="eastAsia" w:ascii="宋体" w:hAnsi="宋体" w:eastAsia="宋体" w:cs="宋体"/>
          <w:sz w:val="28"/>
          <w:szCs w:val="28"/>
        </w:rPr>
        <w:t>招标联系人：周女士</w:t>
      </w:r>
    </w:p>
    <w:p>
      <w:pPr>
        <w:tabs>
          <w:tab w:val="left" w:pos="840"/>
        </w:tabs>
        <w:spacing w:line="440" w:lineRule="exact"/>
        <w:ind w:firstLine="840" w:firstLineChars="300"/>
        <w:rPr>
          <w:rFonts w:hint="eastAsia" w:ascii="宋体" w:hAnsi="宋体" w:eastAsia="宋体" w:cs="宋体"/>
          <w:sz w:val="28"/>
          <w:szCs w:val="28"/>
        </w:rPr>
      </w:pPr>
      <w:r>
        <w:rPr>
          <w:rFonts w:hint="eastAsia" w:ascii="宋体" w:hAnsi="宋体" w:eastAsia="宋体" w:cs="宋体"/>
          <w:sz w:val="28"/>
          <w:szCs w:val="28"/>
        </w:rPr>
        <w:t xml:space="preserve">电话：（0734）8872579（办）   </w:t>
      </w:r>
    </w:p>
    <w:p>
      <w:pPr>
        <w:tabs>
          <w:tab w:val="left" w:pos="840"/>
        </w:tabs>
        <w:spacing w:line="440" w:lineRule="exact"/>
        <w:ind w:firstLine="840" w:firstLineChars="300"/>
        <w:rPr>
          <w:rFonts w:hint="eastAsia" w:ascii="宋体" w:hAnsi="宋体" w:eastAsia="宋体" w:cs="宋体"/>
          <w:sz w:val="28"/>
          <w:szCs w:val="28"/>
        </w:rPr>
      </w:pPr>
      <w:r>
        <w:rPr>
          <w:rFonts w:hint="eastAsia" w:ascii="宋体" w:hAnsi="宋体" w:cs="宋体"/>
          <w:color w:val="FF0000"/>
          <w:sz w:val="28"/>
          <w:szCs w:val="28"/>
          <w:highlight w:val="none"/>
          <w:lang w:val="en-US" w:eastAsia="zh-CN"/>
        </w:rPr>
        <w:t xml:space="preserve"> 邮箱地址：hyst-zb3@hysteeltube.com</w:t>
      </w:r>
      <w:r>
        <w:rPr>
          <w:rFonts w:hint="eastAsia" w:ascii="宋体" w:hAnsi="宋体" w:eastAsia="宋体" w:cs="宋体"/>
          <w:sz w:val="28"/>
          <w:szCs w:val="28"/>
        </w:rPr>
        <w:t xml:space="preserve">         </w:t>
      </w:r>
    </w:p>
    <w:p>
      <w:pPr>
        <w:pStyle w:val="21"/>
        <w:tabs>
          <w:tab w:val="left" w:pos="840"/>
        </w:tabs>
        <w:adjustRightInd w:val="0"/>
        <w:snapToGrid w:val="0"/>
        <w:spacing w:line="360" w:lineRule="exact"/>
        <w:ind w:firstLine="840" w:firstLineChars="300"/>
        <w:rPr>
          <w:rFonts w:hint="eastAsia" w:ascii="宋体" w:hAnsi="宋体" w:eastAsia="宋体" w:cs="宋体"/>
          <w:sz w:val="28"/>
          <w:szCs w:val="28"/>
        </w:rPr>
      </w:pPr>
      <w:r>
        <w:rPr>
          <w:rFonts w:hint="eastAsia" w:ascii="宋体" w:hAnsi="宋体" w:eastAsia="宋体" w:cs="宋体"/>
          <w:sz w:val="28"/>
          <w:szCs w:val="28"/>
        </w:rPr>
        <w:t>地址：衡阳华菱钢管有限公司</w:t>
      </w:r>
      <w:r>
        <w:rPr>
          <w:rFonts w:hint="eastAsia" w:ascii="宋体" w:hAnsi="宋体" w:eastAsia="宋体" w:cs="宋体"/>
          <w:sz w:val="28"/>
          <w:szCs w:val="28"/>
          <w:lang w:val="en-US" w:eastAsia="zh-CN"/>
        </w:rPr>
        <w:t>持续改进</w:t>
      </w:r>
      <w:r>
        <w:rPr>
          <w:rFonts w:hint="eastAsia" w:ascii="宋体" w:hAnsi="宋体" w:eastAsia="宋体" w:cs="宋体"/>
          <w:sz w:val="28"/>
          <w:szCs w:val="28"/>
        </w:rPr>
        <w:t>部</w:t>
      </w:r>
    </w:p>
    <w:p>
      <w:pPr>
        <w:pStyle w:val="21"/>
        <w:tabs>
          <w:tab w:val="left" w:pos="840"/>
        </w:tabs>
        <w:adjustRightInd w:val="0"/>
        <w:snapToGrid w:val="0"/>
        <w:spacing w:line="360" w:lineRule="exact"/>
        <w:ind w:firstLine="840" w:firstLineChars="300"/>
        <w:rPr>
          <w:rFonts w:ascii="仿宋" w:hAnsi="仿宋" w:eastAsia="仿宋"/>
          <w:sz w:val="28"/>
          <w:szCs w:val="28"/>
        </w:rPr>
      </w:pPr>
      <w:bookmarkStart w:id="3" w:name="_GoBack"/>
      <w:bookmarkEnd w:id="3"/>
    </w:p>
    <w:sectPr>
      <w:pgSz w:w="11906" w:h="16838"/>
      <w:pgMar w:top="1157" w:right="869" w:bottom="1157"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E67C19"/>
    <w:multiLevelType w:val="multilevel"/>
    <w:tmpl w:val="65E67C19"/>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ED764B"/>
    <w:rsid w:val="00002689"/>
    <w:rsid w:val="00004D74"/>
    <w:rsid w:val="00015280"/>
    <w:rsid w:val="000167C8"/>
    <w:rsid w:val="00017C4D"/>
    <w:rsid w:val="000211AB"/>
    <w:rsid w:val="00026194"/>
    <w:rsid w:val="000331C7"/>
    <w:rsid w:val="00035DD8"/>
    <w:rsid w:val="000423DC"/>
    <w:rsid w:val="000441AE"/>
    <w:rsid w:val="0005524C"/>
    <w:rsid w:val="00055A21"/>
    <w:rsid w:val="000706D5"/>
    <w:rsid w:val="00085142"/>
    <w:rsid w:val="00092111"/>
    <w:rsid w:val="000926C7"/>
    <w:rsid w:val="00094E55"/>
    <w:rsid w:val="000954D7"/>
    <w:rsid w:val="0009659B"/>
    <w:rsid w:val="000A13EF"/>
    <w:rsid w:val="000A1B7F"/>
    <w:rsid w:val="000A4BBE"/>
    <w:rsid w:val="000A6662"/>
    <w:rsid w:val="000A687E"/>
    <w:rsid w:val="000B44C7"/>
    <w:rsid w:val="000B4AA1"/>
    <w:rsid w:val="000B7ECC"/>
    <w:rsid w:val="000C1A25"/>
    <w:rsid w:val="000C5221"/>
    <w:rsid w:val="000D5DAE"/>
    <w:rsid w:val="000D7F4A"/>
    <w:rsid w:val="000E0BFA"/>
    <w:rsid w:val="000E2115"/>
    <w:rsid w:val="000E4C94"/>
    <w:rsid w:val="000E591F"/>
    <w:rsid w:val="000E7FAA"/>
    <w:rsid w:val="000F18A2"/>
    <w:rsid w:val="000F1C12"/>
    <w:rsid w:val="000F44F8"/>
    <w:rsid w:val="000F5A48"/>
    <w:rsid w:val="00103AB1"/>
    <w:rsid w:val="00105612"/>
    <w:rsid w:val="001067C5"/>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77D28"/>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6FCA"/>
    <w:rsid w:val="0023002E"/>
    <w:rsid w:val="0023348A"/>
    <w:rsid w:val="00234F6D"/>
    <w:rsid w:val="0024048A"/>
    <w:rsid w:val="002446E4"/>
    <w:rsid w:val="00244FAA"/>
    <w:rsid w:val="00251677"/>
    <w:rsid w:val="0025235D"/>
    <w:rsid w:val="00252576"/>
    <w:rsid w:val="00253B20"/>
    <w:rsid w:val="00253E68"/>
    <w:rsid w:val="00254E9F"/>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74AD"/>
    <w:rsid w:val="002E0732"/>
    <w:rsid w:val="002E48EA"/>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27260"/>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1C9"/>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2A7"/>
    <w:rsid w:val="003B3693"/>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F0B28"/>
    <w:rsid w:val="003F1ADB"/>
    <w:rsid w:val="003F29C1"/>
    <w:rsid w:val="003F608E"/>
    <w:rsid w:val="00402C99"/>
    <w:rsid w:val="00403508"/>
    <w:rsid w:val="00410B09"/>
    <w:rsid w:val="00410F20"/>
    <w:rsid w:val="00412006"/>
    <w:rsid w:val="00416786"/>
    <w:rsid w:val="00422890"/>
    <w:rsid w:val="00424117"/>
    <w:rsid w:val="00441EF2"/>
    <w:rsid w:val="00442690"/>
    <w:rsid w:val="00442AE3"/>
    <w:rsid w:val="00450DBD"/>
    <w:rsid w:val="004511DA"/>
    <w:rsid w:val="004512CF"/>
    <w:rsid w:val="00452268"/>
    <w:rsid w:val="00453102"/>
    <w:rsid w:val="00455177"/>
    <w:rsid w:val="004579C8"/>
    <w:rsid w:val="00461F47"/>
    <w:rsid w:val="00462F2C"/>
    <w:rsid w:val="00472AD2"/>
    <w:rsid w:val="00472F50"/>
    <w:rsid w:val="00473EDC"/>
    <w:rsid w:val="00474E62"/>
    <w:rsid w:val="00475814"/>
    <w:rsid w:val="0048146B"/>
    <w:rsid w:val="00481E32"/>
    <w:rsid w:val="0048237D"/>
    <w:rsid w:val="00482F15"/>
    <w:rsid w:val="00483F91"/>
    <w:rsid w:val="004873BA"/>
    <w:rsid w:val="00493735"/>
    <w:rsid w:val="004A0659"/>
    <w:rsid w:val="004A49D3"/>
    <w:rsid w:val="004A6399"/>
    <w:rsid w:val="004B24FD"/>
    <w:rsid w:val="004B3D8A"/>
    <w:rsid w:val="004B4A59"/>
    <w:rsid w:val="004B55EA"/>
    <w:rsid w:val="004B6CA9"/>
    <w:rsid w:val="004B7EB5"/>
    <w:rsid w:val="004C2402"/>
    <w:rsid w:val="004C2AA9"/>
    <w:rsid w:val="004C3605"/>
    <w:rsid w:val="004C60B0"/>
    <w:rsid w:val="004D0FBC"/>
    <w:rsid w:val="004E24FF"/>
    <w:rsid w:val="004F1FDB"/>
    <w:rsid w:val="004F59CF"/>
    <w:rsid w:val="004F6C27"/>
    <w:rsid w:val="004F7139"/>
    <w:rsid w:val="004F7D07"/>
    <w:rsid w:val="00500035"/>
    <w:rsid w:val="00501509"/>
    <w:rsid w:val="00511E36"/>
    <w:rsid w:val="005123F7"/>
    <w:rsid w:val="005143D5"/>
    <w:rsid w:val="005212D0"/>
    <w:rsid w:val="005229A0"/>
    <w:rsid w:val="00525362"/>
    <w:rsid w:val="00533E44"/>
    <w:rsid w:val="00535CCF"/>
    <w:rsid w:val="00536BE2"/>
    <w:rsid w:val="005372DF"/>
    <w:rsid w:val="00541AF1"/>
    <w:rsid w:val="00541C3A"/>
    <w:rsid w:val="00543CE5"/>
    <w:rsid w:val="005449CD"/>
    <w:rsid w:val="00546CD5"/>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2810"/>
    <w:rsid w:val="00593523"/>
    <w:rsid w:val="0059490F"/>
    <w:rsid w:val="00596069"/>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43C8"/>
    <w:rsid w:val="006025D1"/>
    <w:rsid w:val="006076C2"/>
    <w:rsid w:val="006115C8"/>
    <w:rsid w:val="00615D57"/>
    <w:rsid w:val="006206DA"/>
    <w:rsid w:val="0062771E"/>
    <w:rsid w:val="00632E19"/>
    <w:rsid w:val="00634F10"/>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5558"/>
    <w:rsid w:val="00686E71"/>
    <w:rsid w:val="006909C1"/>
    <w:rsid w:val="0069349A"/>
    <w:rsid w:val="006951F5"/>
    <w:rsid w:val="006A7912"/>
    <w:rsid w:val="006B166A"/>
    <w:rsid w:val="006B2DA1"/>
    <w:rsid w:val="006B617E"/>
    <w:rsid w:val="006B744D"/>
    <w:rsid w:val="006B7A8F"/>
    <w:rsid w:val="006C0913"/>
    <w:rsid w:val="006C359C"/>
    <w:rsid w:val="006C3641"/>
    <w:rsid w:val="006C3DFB"/>
    <w:rsid w:val="006C567B"/>
    <w:rsid w:val="006C62D3"/>
    <w:rsid w:val="006C7051"/>
    <w:rsid w:val="006D44C4"/>
    <w:rsid w:val="006D4D5D"/>
    <w:rsid w:val="006D753C"/>
    <w:rsid w:val="006E4F29"/>
    <w:rsid w:val="006E6B31"/>
    <w:rsid w:val="006E70A0"/>
    <w:rsid w:val="006F07F6"/>
    <w:rsid w:val="006F27B3"/>
    <w:rsid w:val="006F4E44"/>
    <w:rsid w:val="006F4EC0"/>
    <w:rsid w:val="006F62A5"/>
    <w:rsid w:val="007073FC"/>
    <w:rsid w:val="00707D0C"/>
    <w:rsid w:val="00711214"/>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67140"/>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5048"/>
    <w:rsid w:val="007A55BF"/>
    <w:rsid w:val="007B2B08"/>
    <w:rsid w:val="007B5D0E"/>
    <w:rsid w:val="007B6900"/>
    <w:rsid w:val="007C0D3C"/>
    <w:rsid w:val="007C4630"/>
    <w:rsid w:val="007C5FC2"/>
    <w:rsid w:val="007C7AC4"/>
    <w:rsid w:val="007C7EFD"/>
    <w:rsid w:val="007D2556"/>
    <w:rsid w:val="007D4611"/>
    <w:rsid w:val="007E4142"/>
    <w:rsid w:val="007F221E"/>
    <w:rsid w:val="007F5223"/>
    <w:rsid w:val="007F528C"/>
    <w:rsid w:val="00804501"/>
    <w:rsid w:val="008153A3"/>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74A"/>
    <w:rsid w:val="00875F5B"/>
    <w:rsid w:val="008761B3"/>
    <w:rsid w:val="008859D2"/>
    <w:rsid w:val="008932D7"/>
    <w:rsid w:val="008A0AB1"/>
    <w:rsid w:val="008A4293"/>
    <w:rsid w:val="008A7FA2"/>
    <w:rsid w:val="008C3626"/>
    <w:rsid w:val="008D0379"/>
    <w:rsid w:val="008D0932"/>
    <w:rsid w:val="008D2C5B"/>
    <w:rsid w:val="008D3978"/>
    <w:rsid w:val="008D398A"/>
    <w:rsid w:val="008D6C8B"/>
    <w:rsid w:val="008E486A"/>
    <w:rsid w:val="008E5BFA"/>
    <w:rsid w:val="008F18A4"/>
    <w:rsid w:val="008F191E"/>
    <w:rsid w:val="008F1E91"/>
    <w:rsid w:val="008F6493"/>
    <w:rsid w:val="008F6531"/>
    <w:rsid w:val="0090308A"/>
    <w:rsid w:val="009101BA"/>
    <w:rsid w:val="009133E6"/>
    <w:rsid w:val="009177CB"/>
    <w:rsid w:val="00923DE9"/>
    <w:rsid w:val="00934473"/>
    <w:rsid w:val="00941EF2"/>
    <w:rsid w:val="00942C79"/>
    <w:rsid w:val="00943FEB"/>
    <w:rsid w:val="009518B3"/>
    <w:rsid w:val="009533CA"/>
    <w:rsid w:val="0095553C"/>
    <w:rsid w:val="00955F2A"/>
    <w:rsid w:val="00961CB6"/>
    <w:rsid w:val="00971BE1"/>
    <w:rsid w:val="00976B91"/>
    <w:rsid w:val="00984A1F"/>
    <w:rsid w:val="0099586D"/>
    <w:rsid w:val="009A1C78"/>
    <w:rsid w:val="009A2E85"/>
    <w:rsid w:val="009A352C"/>
    <w:rsid w:val="009A4394"/>
    <w:rsid w:val="009B089A"/>
    <w:rsid w:val="009C08DC"/>
    <w:rsid w:val="009C3111"/>
    <w:rsid w:val="009C55A0"/>
    <w:rsid w:val="009D0FDF"/>
    <w:rsid w:val="009D70AC"/>
    <w:rsid w:val="009D7D0F"/>
    <w:rsid w:val="009E65E5"/>
    <w:rsid w:val="009F3A50"/>
    <w:rsid w:val="009F49B2"/>
    <w:rsid w:val="009F669F"/>
    <w:rsid w:val="00A00B2F"/>
    <w:rsid w:val="00A02BB3"/>
    <w:rsid w:val="00A0487F"/>
    <w:rsid w:val="00A048CE"/>
    <w:rsid w:val="00A06E9C"/>
    <w:rsid w:val="00A12203"/>
    <w:rsid w:val="00A17AA7"/>
    <w:rsid w:val="00A23CB1"/>
    <w:rsid w:val="00A241F8"/>
    <w:rsid w:val="00A277B1"/>
    <w:rsid w:val="00A34FBB"/>
    <w:rsid w:val="00A37E5E"/>
    <w:rsid w:val="00A40880"/>
    <w:rsid w:val="00A40B4C"/>
    <w:rsid w:val="00A43E01"/>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0D8A"/>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82599"/>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7B0E"/>
    <w:rsid w:val="00BF12F1"/>
    <w:rsid w:val="00BF3F46"/>
    <w:rsid w:val="00BF429F"/>
    <w:rsid w:val="00BF6A32"/>
    <w:rsid w:val="00BF6D98"/>
    <w:rsid w:val="00C04148"/>
    <w:rsid w:val="00C0524C"/>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85A8D"/>
    <w:rsid w:val="00C962F8"/>
    <w:rsid w:val="00C975B4"/>
    <w:rsid w:val="00CA483A"/>
    <w:rsid w:val="00CA740B"/>
    <w:rsid w:val="00CB05B5"/>
    <w:rsid w:val="00CB52BE"/>
    <w:rsid w:val="00CB67C2"/>
    <w:rsid w:val="00CB68F4"/>
    <w:rsid w:val="00CC2C51"/>
    <w:rsid w:val="00CC59DF"/>
    <w:rsid w:val="00CD1A94"/>
    <w:rsid w:val="00CD1C9E"/>
    <w:rsid w:val="00CD2338"/>
    <w:rsid w:val="00CD3F38"/>
    <w:rsid w:val="00CE2ADF"/>
    <w:rsid w:val="00CE2EEC"/>
    <w:rsid w:val="00CE43B6"/>
    <w:rsid w:val="00CE73C4"/>
    <w:rsid w:val="00CF2B31"/>
    <w:rsid w:val="00D0227D"/>
    <w:rsid w:val="00D03C71"/>
    <w:rsid w:val="00D053F5"/>
    <w:rsid w:val="00D05417"/>
    <w:rsid w:val="00D05B9B"/>
    <w:rsid w:val="00D13B9A"/>
    <w:rsid w:val="00D20275"/>
    <w:rsid w:val="00D265F0"/>
    <w:rsid w:val="00D33DD8"/>
    <w:rsid w:val="00D34E00"/>
    <w:rsid w:val="00D37E2C"/>
    <w:rsid w:val="00D42084"/>
    <w:rsid w:val="00D510D8"/>
    <w:rsid w:val="00D5113B"/>
    <w:rsid w:val="00D527A0"/>
    <w:rsid w:val="00D5281C"/>
    <w:rsid w:val="00D536B0"/>
    <w:rsid w:val="00D55E4D"/>
    <w:rsid w:val="00D56066"/>
    <w:rsid w:val="00D5683D"/>
    <w:rsid w:val="00D56C32"/>
    <w:rsid w:val="00D62227"/>
    <w:rsid w:val="00D626E2"/>
    <w:rsid w:val="00D673F5"/>
    <w:rsid w:val="00D71DDB"/>
    <w:rsid w:val="00D7263D"/>
    <w:rsid w:val="00D76718"/>
    <w:rsid w:val="00D82C64"/>
    <w:rsid w:val="00D85B0B"/>
    <w:rsid w:val="00D90749"/>
    <w:rsid w:val="00D924BD"/>
    <w:rsid w:val="00D92E4C"/>
    <w:rsid w:val="00D93283"/>
    <w:rsid w:val="00D93AF1"/>
    <w:rsid w:val="00D949F6"/>
    <w:rsid w:val="00D954E3"/>
    <w:rsid w:val="00DA2D8D"/>
    <w:rsid w:val="00DA73DD"/>
    <w:rsid w:val="00DB1492"/>
    <w:rsid w:val="00DB4478"/>
    <w:rsid w:val="00DB60C1"/>
    <w:rsid w:val="00DC30FB"/>
    <w:rsid w:val="00DC3D4C"/>
    <w:rsid w:val="00DC4C74"/>
    <w:rsid w:val="00DC6E83"/>
    <w:rsid w:val="00DC7D46"/>
    <w:rsid w:val="00DD3F68"/>
    <w:rsid w:val="00DD5095"/>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3E39"/>
    <w:rsid w:val="00EB71CA"/>
    <w:rsid w:val="00EB79D5"/>
    <w:rsid w:val="00EC1DDB"/>
    <w:rsid w:val="00EC3122"/>
    <w:rsid w:val="00EC396B"/>
    <w:rsid w:val="00EC4DEC"/>
    <w:rsid w:val="00ED19D4"/>
    <w:rsid w:val="00ED2D11"/>
    <w:rsid w:val="00ED306C"/>
    <w:rsid w:val="00ED4BFE"/>
    <w:rsid w:val="00ED690C"/>
    <w:rsid w:val="00ED764B"/>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209"/>
    <w:rsid w:val="00F43340"/>
    <w:rsid w:val="00F43AEA"/>
    <w:rsid w:val="00F449A9"/>
    <w:rsid w:val="00F50DF6"/>
    <w:rsid w:val="00F525AC"/>
    <w:rsid w:val="00F531A9"/>
    <w:rsid w:val="00F53C14"/>
    <w:rsid w:val="00F54360"/>
    <w:rsid w:val="00F561F3"/>
    <w:rsid w:val="00F574B4"/>
    <w:rsid w:val="00F60E67"/>
    <w:rsid w:val="00F623A3"/>
    <w:rsid w:val="00F64750"/>
    <w:rsid w:val="00F65558"/>
    <w:rsid w:val="00F72123"/>
    <w:rsid w:val="00F745BC"/>
    <w:rsid w:val="00F76F06"/>
    <w:rsid w:val="00F82AD7"/>
    <w:rsid w:val="00F83016"/>
    <w:rsid w:val="00F84C1F"/>
    <w:rsid w:val="00F8711E"/>
    <w:rsid w:val="00F9470A"/>
    <w:rsid w:val="00F96E87"/>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 w:val="016B5245"/>
    <w:rsid w:val="055E7CEE"/>
    <w:rsid w:val="070A4971"/>
    <w:rsid w:val="0C2B6E6A"/>
    <w:rsid w:val="0F327E29"/>
    <w:rsid w:val="1413761C"/>
    <w:rsid w:val="19441E69"/>
    <w:rsid w:val="229A4576"/>
    <w:rsid w:val="26745258"/>
    <w:rsid w:val="4112108D"/>
    <w:rsid w:val="508B57DB"/>
    <w:rsid w:val="569639A7"/>
    <w:rsid w:val="72D371A1"/>
    <w:rsid w:val="732B583C"/>
    <w:rsid w:val="75524F49"/>
    <w:rsid w:val="7A17694C"/>
    <w:rsid w:val="7B0555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spacing w:before="240" w:after="60"/>
      <w:outlineLvl w:val="0"/>
    </w:pPr>
    <w:rPr>
      <w:rFonts w:ascii="Cambria" w:hAnsi="Cambria"/>
      <w:b/>
      <w:bCs/>
      <w:kern w:val="32"/>
      <w:sz w:val="32"/>
      <w:szCs w:val="32"/>
    </w:rPr>
  </w:style>
  <w:style w:type="paragraph" w:styleId="3">
    <w:name w:val="heading 2"/>
    <w:basedOn w:val="1"/>
    <w:next w:val="1"/>
    <w:qFormat/>
    <w:uiPriority w:val="0"/>
    <w:pPr>
      <w:keepNext/>
      <w:keepLines/>
      <w:spacing w:before="260" w:after="260" w:line="413" w:lineRule="auto"/>
      <w:outlineLvl w:val="1"/>
    </w:pPr>
    <w:rPr>
      <w:rFonts w:ascii="Cambria" w:hAnsi="Cambria"/>
      <w:b/>
      <w:bCs/>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Balloon Text"/>
    <w:basedOn w:val="1"/>
    <w:link w:val="24"/>
    <w:semiHidden/>
    <w:unhideWhenUsed/>
    <w:qFormat/>
    <w:uiPriority w:val="99"/>
    <w:rPr>
      <w:sz w:val="18"/>
      <w:szCs w:val="18"/>
    </w:rPr>
  </w:style>
  <w:style w:type="paragraph" w:styleId="6">
    <w:name w:val="footer"/>
    <w:basedOn w:val="1"/>
    <w:link w:val="19"/>
    <w:semiHidden/>
    <w:unhideWhenUsed/>
    <w:qFormat/>
    <w:uiPriority w:val="99"/>
    <w:pPr>
      <w:tabs>
        <w:tab w:val="center" w:pos="4153"/>
        <w:tab w:val="right" w:pos="8306"/>
      </w:tabs>
      <w:snapToGrid w:val="0"/>
      <w:jc w:val="left"/>
    </w:pPr>
    <w:rPr>
      <w:sz w:val="18"/>
      <w:szCs w:val="18"/>
    </w:rPr>
  </w:style>
  <w:style w:type="paragraph" w:styleId="7">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style>
  <w:style w:type="paragraph" w:styleId="9">
    <w:name w:val="toc 4"/>
    <w:basedOn w:val="1"/>
    <w:next w:val="1"/>
    <w:qFormat/>
    <w:uiPriority w:val="0"/>
    <w:pPr>
      <w:ind w:left="1260" w:leftChars="600"/>
    </w:pPr>
  </w:style>
  <w:style w:type="paragraph" w:styleId="10">
    <w:name w:val="toc 2"/>
    <w:basedOn w:val="1"/>
    <w:next w:val="1"/>
    <w:qFormat/>
    <w:uiPriority w:val="39"/>
    <w:pPr>
      <w:ind w:left="420" w:leftChars="200"/>
    </w:pPr>
  </w:style>
  <w:style w:type="paragraph" w:styleId="11">
    <w:name w:val="Body Text 2"/>
    <w:basedOn w:val="1"/>
    <w:qFormat/>
    <w:uiPriority w:val="0"/>
    <w:pPr>
      <w:spacing w:after="120" w:line="480" w:lineRule="auto"/>
    </w:pPr>
    <w:rPr>
      <w:rFonts w:eastAsia="方正仿宋简体"/>
      <w:sz w:val="30"/>
    </w:rPr>
  </w:style>
  <w:style w:type="paragraph" w:styleId="12">
    <w:name w:val="Title"/>
    <w:basedOn w:val="1"/>
    <w:next w:val="1"/>
    <w:link w:val="20"/>
    <w:qFormat/>
    <w:uiPriority w:val="0"/>
    <w:pPr>
      <w:spacing w:before="240" w:after="60"/>
      <w:jc w:val="center"/>
      <w:outlineLvl w:val="0"/>
    </w:pPr>
    <w:rPr>
      <w:rFonts w:ascii="Cambria" w:hAnsi="Cambria"/>
      <w:b/>
      <w:sz w:val="32"/>
    </w:rPr>
  </w:style>
  <w:style w:type="character" w:styleId="15">
    <w:name w:val="Strong"/>
    <w:basedOn w:val="14"/>
    <w:qFormat/>
    <w:uiPriority w:val="22"/>
    <w:rPr>
      <w:rFonts w:ascii="宋体" w:hAnsi="宋体" w:eastAsia="宋体"/>
      <w:b/>
      <w:bCs/>
      <w:sz w:val="24"/>
    </w:rPr>
  </w:style>
  <w:style w:type="character" w:styleId="16">
    <w:name w:val="page number"/>
    <w:basedOn w:val="14"/>
    <w:qFormat/>
    <w:uiPriority w:val="0"/>
  </w:style>
  <w:style w:type="character" w:styleId="17">
    <w:name w:val="Hyperlink"/>
    <w:basedOn w:val="14"/>
    <w:qFormat/>
    <w:uiPriority w:val="99"/>
    <w:rPr>
      <w:color w:val="0000FF"/>
      <w:u w:val="single"/>
    </w:rPr>
  </w:style>
  <w:style w:type="character" w:customStyle="1" w:styleId="18">
    <w:name w:val="页眉 Char"/>
    <w:basedOn w:val="14"/>
    <w:link w:val="7"/>
    <w:semiHidden/>
    <w:qFormat/>
    <w:uiPriority w:val="99"/>
    <w:rPr>
      <w:sz w:val="18"/>
      <w:szCs w:val="18"/>
    </w:rPr>
  </w:style>
  <w:style w:type="character" w:customStyle="1" w:styleId="19">
    <w:name w:val="页脚 Char"/>
    <w:basedOn w:val="14"/>
    <w:link w:val="6"/>
    <w:semiHidden/>
    <w:qFormat/>
    <w:uiPriority w:val="99"/>
    <w:rPr>
      <w:sz w:val="18"/>
      <w:szCs w:val="18"/>
    </w:rPr>
  </w:style>
  <w:style w:type="character" w:customStyle="1" w:styleId="20">
    <w:name w:val="标题 Char"/>
    <w:basedOn w:val="14"/>
    <w:link w:val="12"/>
    <w:qFormat/>
    <w:uiPriority w:val="0"/>
    <w:rPr>
      <w:rFonts w:ascii="Cambria" w:hAnsi="Cambria" w:eastAsia="宋体" w:cs="Times New Roman"/>
      <w:b/>
      <w:sz w:val="32"/>
      <w:szCs w:val="24"/>
    </w:rPr>
  </w:style>
  <w:style w:type="paragraph" w:styleId="21">
    <w:name w:val="List Paragraph"/>
    <w:basedOn w:val="1"/>
    <w:qFormat/>
    <w:uiPriority w:val="34"/>
    <w:pPr>
      <w:ind w:firstLine="420" w:firstLineChars="200"/>
    </w:pPr>
  </w:style>
  <w:style w:type="paragraph" w:customStyle="1" w:styleId="22">
    <w:name w:val="p0"/>
    <w:basedOn w:val="1"/>
    <w:qFormat/>
    <w:uiPriority w:val="0"/>
    <w:pPr>
      <w:widowControl/>
    </w:pPr>
    <w:rPr>
      <w:szCs w:val="21"/>
    </w:rPr>
  </w:style>
  <w:style w:type="paragraph" w:customStyle="1" w:styleId="23">
    <w:name w:val="TOC 标题1"/>
    <w:basedOn w:val="2"/>
    <w:next w:val="1"/>
    <w:semiHidden/>
    <w:unhideWhenUsed/>
    <w:qFormat/>
    <w:uiPriority w:val="39"/>
    <w:pPr>
      <w:keepLines/>
      <w:spacing w:before="340" w:after="330" w:line="578" w:lineRule="auto"/>
      <w:outlineLvl w:val="9"/>
    </w:pPr>
    <w:rPr>
      <w:rFonts w:ascii="Times New Roman" w:hAnsi="Times New Roman"/>
      <w:kern w:val="44"/>
      <w:sz w:val="44"/>
      <w:szCs w:val="44"/>
    </w:rPr>
  </w:style>
  <w:style w:type="character" w:customStyle="1" w:styleId="24">
    <w:name w:val="批注框文本 Char"/>
    <w:basedOn w:val="14"/>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1028</Words>
  <Characters>1178</Characters>
  <Lines>11</Lines>
  <Paragraphs>3</Paragraphs>
  <TotalTime>0</TotalTime>
  <ScaleCrop>false</ScaleCrop>
  <LinksUpToDate>false</LinksUpToDate>
  <CharactersWithSpaces>1521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2023-03-20T08:22:00Z</dcterms:created>
  <dc:creator>未定义</dc:creator>
  <cp:lastModifiedBy>Administrator</cp:lastModifiedBy>
  <dcterms:modified xsi:type="dcterms:W3CDTF">2023-03-29T07:21:00Z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30D2014FE60C43C5B1624AA6B73433BB</vt:lpwstr>
  </property>
</Properties>
</file>