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ind w:firstLine="742" w:firstLineChars="265"/>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HGJY-G2023038</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5-7</w:t>
      </w:r>
      <w:r>
        <w:rPr>
          <w:rFonts w:hint="eastAsia" w:ascii="仿宋" w:hAnsi="仿宋" w:eastAsia="仿宋"/>
          <w:sz w:val="28"/>
          <w:szCs w:val="28"/>
        </w:rPr>
        <w:t>月份炼钢炼铁用保温覆盖剂（碳化稻壳型）采购项目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货物名称：中间包覆盖剂:保温覆盖剂（碳化稻壳型）</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5-7</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w:t>
      </w:r>
      <w:r>
        <w:rPr>
          <w:rFonts w:hint="eastAsia" w:ascii="仿宋" w:hAnsi="仿宋" w:eastAsia="仿宋"/>
          <w:sz w:val="28"/>
          <w:szCs w:val="28"/>
        </w:rPr>
        <w:t>0000元人民币。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4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19 </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EDC2D70"/>
    <w:rsid w:val="0F0C7082"/>
    <w:rsid w:val="121C12B1"/>
    <w:rsid w:val="1B43154A"/>
    <w:rsid w:val="202F37F6"/>
    <w:rsid w:val="2BCE77B8"/>
    <w:rsid w:val="2D011DF5"/>
    <w:rsid w:val="2FE11C85"/>
    <w:rsid w:val="306D174C"/>
    <w:rsid w:val="31B72AA6"/>
    <w:rsid w:val="3E5926E1"/>
    <w:rsid w:val="3E6C4165"/>
    <w:rsid w:val="41654EAA"/>
    <w:rsid w:val="445242B1"/>
    <w:rsid w:val="53CF0680"/>
    <w:rsid w:val="63470685"/>
    <w:rsid w:val="67C47E73"/>
    <w:rsid w:val="72EA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1078</Words>
  <Characters>900</Characters>
  <Lines>7</Lines>
  <Paragraphs>3</Paragraphs>
  <TotalTime>0</TotalTime>
  <ScaleCrop>false</ScaleCrop>
  <LinksUpToDate>false</LinksUpToDate>
  <CharactersWithSpaces>1975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2023-04-11T01:09:32Z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