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Theme="minorEastAsia" w:hAnsiTheme="minorEastAsia" w:eastAsiaTheme="minorEastAsia"/>
          <w:b/>
          <w:sz w:val="32"/>
          <w:szCs w:val="32"/>
          <w:lang w:val="en-US" w:eastAsia="zh-CN"/>
        </w:rPr>
        <w:t>HGJY-G2023041</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7</w:t>
      </w:r>
      <w:r>
        <w:rPr>
          <w:rFonts w:hint="eastAsia" w:ascii="仿宋" w:hAnsi="仿宋" w:eastAsia="仿宋"/>
          <w:sz w:val="28"/>
          <w:szCs w:val="28"/>
        </w:rPr>
        <w:t>月炼钢用喷吹碳粉招标采购项目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w:t>
      </w:r>
      <w:r>
        <w:rPr>
          <w:rFonts w:hint="eastAsia" w:ascii="仿宋" w:hAnsi="仿宋" w:eastAsia="仿宋"/>
          <w:sz w:val="28"/>
          <w:szCs w:val="28"/>
          <w:lang w:val="en-US" w:eastAsia="zh-CN"/>
        </w:rPr>
        <w:t>1</w:t>
      </w:r>
      <w:r>
        <w:rPr>
          <w:rFonts w:hint="eastAsia" w:ascii="仿宋" w:hAnsi="仿宋" w:eastAsia="仿宋"/>
          <w:sz w:val="28"/>
          <w:szCs w:val="28"/>
        </w:rPr>
        <w:t>00吨，具体数量以分厂计划为准,均衡到货。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月-2023年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9</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 4</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 21</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1F5352E"/>
    <w:rsid w:val="08185BCF"/>
    <w:rsid w:val="11E61041"/>
    <w:rsid w:val="14D76291"/>
    <w:rsid w:val="181943B1"/>
    <w:rsid w:val="20807F33"/>
    <w:rsid w:val="22FF5429"/>
    <w:rsid w:val="23341029"/>
    <w:rsid w:val="24000C81"/>
    <w:rsid w:val="29EA630A"/>
    <w:rsid w:val="2EDA311A"/>
    <w:rsid w:val="32A60F0B"/>
    <w:rsid w:val="44EF64AF"/>
    <w:rsid w:val="4BD25989"/>
    <w:rsid w:val="51860E7A"/>
    <w:rsid w:val="53CF0680"/>
    <w:rsid w:val="5B457AA5"/>
    <w:rsid w:val="5FCA190D"/>
    <w:rsid w:val="748534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299</Words>
  <Characters>1707</Characters>
  <Lines>14</Lines>
  <Paragraphs>4</Paragraphs>
  <TotalTime>1</TotalTime>
  <ScaleCrop>false</ScaleCrop>
  <LinksUpToDate>false</LinksUpToDate>
  <CharactersWithSpaces>2002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2023-04-13T07:48:43Z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