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 w:val="24"/>
          <w:szCs w:val="24"/>
        </w:rPr>
      </w:pPr>
      <w:bookmarkStart w:id="0" w:name="_Toc307839276"/>
      <w:bookmarkStart w:id="1" w:name="_Toc178419002"/>
      <w:r>
        <w:rPr>
          <w:rFonts w:hint="eastAsia" w:ascii="仿宋" w:hAnsi="仿宋" w:eastAsia="仿宋" w:cs="仿宋"/>
          <w:sz w:val="32"/>
          <w:szCs w:val="32"/>
          <w:lang w:val="en-US" w:eastAsia="zh-CN"/>
        </w:rPr>
        <w:t>招</w:t>
      </w:r>
      <w:r>
        <w:rPr>
          <w:rFonts w:hint="eastAsia" w:ascii="仿宋" w:hAnsi="仿宋" w:eastAsia="仿宋" w:cs="仿宋"/>
          <w:sz w:val="32"/>
          <w:szCs w:val="32"/>
        </w:rPr>
        <w:t>标</w:t>
      </w:r>
      <w:bookmarkEnd w:id="0"/>
      <w:bookmarkEnd w:id="1"/>
      <w:r>
        <w:rPr>
          <w:rFonts w:hint="eastAsia" w:ascii="仿宋" w:hAnsi="仿宋" w:eastAsia="仿宋" w:cs="仿宋"/>
          <w:sz w:val="32"/>
          <w:szCs w:val="32"/>
          <w:lang w:val="en-US" w:eastAsia="zh-CN"/>
        </w:rPr>
        <w:t>公告</w:t>
      </w:r>
    </w:p>
    <w:p>
      <w:pPr>
        <w:pStyle w:val="2"/>
        <w:keepNext w:val="0"/>
        <w:keepLines w:val="0"/>
        <w:pageBreakBefore w:val="0"/>
        <w:widowControl w:val="0"/>
        <w:tabs>
          <w:tab w:val="left" w:pos="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受</w:t>
      </w:r>
      <w:r>
        <w:rPr>
          <w:rFonts w:hint="eastAsia" w:ascii="仿宋" w:hAnsi="仿宋" w:eastAsia="仿宋" w:cs="仿宋"/>
          <w:sz w:val="28"/>
          <w:szCs w:val="28"/>
          <w:lang w:eastAsia="zh-CN"/>
        </w:rPr>
        <w:t>衡阳衡钢鸿华物流有限公司</w:t>
      </w:r>
      <w:r>
        <w:rPr>
          <w:rFonts w:hint="eastAsia" w:ascii="仿宋" w:hAnsi="仿宋" w:eastAsia="仿宋" w:cs="仿宋"/>
          <w:sz w:val="28"/>
          <w:szCs w:val="28"/>
        </w:rPr>
        <w:t>委托，</w:t>
      </w:r>
      <w:r>
        <w:rPr>
          <w:rFonts w:hint="eastAsia" w:ascii="仿宋" w:hAnsi="仿宋" w:eastAsia="仿宋" w:cs="仿宋"/>
          <w:color w:val="000000"/>
          <w:sz w:val="28"/>
          <w:szCs w:val="28"/>
        </w:rPr>
        <w:t>湖南衡阳钢管(集团)有限公司</w:t>
      </w:r>
      <w:r>
        <w:rPr>
          <w:rFonts w:hint="eastAsia" w:ascii="仿宋" w:hAnsi="仿宋" w:eastAsia="仿宋" w:cs="仿宋"/>
          <w:sz w:val="28"/>
          <w:szCs w:val="28"/>
        </w:rPr>
        <w:t>招标办拟对202</w:t>
      </w:r>
      <w:r>
        <w:rPr>
          <w:rFonts w:hint="eastAsia" w:ascii="仿宋" w:hAnsi="仿宋" w:eastAsia="仿宋" w:cs="仿宋"/>
          <w:sz w:val="28"/>
          <w:szCs w:val="28"/>
          <w:lang w:val="en-US" w:eastAsia="zh-CN"/>
        </w:rPr>
        <w:t>3</w:t>
      </w:r>
      <w:r>
        <w:rPr>
          <w:rFonts w:hint="eastAsia" w:ascii="仿宋" w:hAnsi="仿宋" w:eastAsia="仿宋" w:cs="仿宋"/>
          <w:sz w:val="28"/>
          <w:szCs w:val="28"/>
        </w:rPr>
        <w:t>年度衡钢钢渣尾渣</w:t>
      </w:r>
      <w:r>
        <w:rPr>
          <w:rFonts w:hint="eastAsia" w:ascii="仿宋" w:hAnsi="仿宋" w:eastAsia="仿宋" w:cs="仿宋"/>
          <w:sz w:val="28"/>
          <w:szCs w:val="28"/>
          <w:lang w:eastAsia="zh-CN"/>
        </w:rPr>
        <w:t>、白灰</w:t>
      </w:r>
      <w:r>
        <w:rPr>
          <w:rFonts w:hint="eastAsia" w:ascii="仿宋" w:hAnsi="仿宋" w:eastAsia="仿宋" w:cs="仿宋"/>
          <w:sz w:val="28"/>
          <w:szCs w:val="28"/>
        </w:rPr>
        <w:t>让售项目</w:t>
      </w:r>
      <w:r>
        <w:rPr>
          <w:rFonts w:hint="eastAsia" w:ascii="仿宋" w:hAnsi="仿宋" w:eastAsia="仿宋" w:cs="仿宋"/>
          <w:color w:val="auto"/>
          <w:sz w:val="28"/>
          <w:szCs w:val="28"/>
        </w:rPr>
        <w:t>进行</w:t>
      </w:r>
      <w:r>
        <w:rPr>
          <w:rFonts w:hint="eastAsia" w:ascii="仿宋" w:hAnsi="仿宋" w:eastAsia="仿宋" w:cs="仿宋"/>
          <w:color w:val="auto"/>
          <w:sz w:val="28"/>
          <w:szCs w:val="28"/>
          <w:lang w:eastAsia="zh-CN"/>
        </w:rPr>
        <w:t>公开</w:t>
      </w:r>
      <w:r>
        <w:rPr>
          <w:rFonts w:hint="eastAsia" w:ascii="仿宋" w:hAnsi="仿宋" w:eastAsia="仿宋" w:cs="仿宋"/>
          <w:color w:val="auto"/>
          <w:sz w:val="28"/>
          <w:szCs w:val="28"/>
        </w:rPr>
        <w:t>招标</w:t>
      </w:r>
      <w:r>
        <w:rPr>
          <w:rFonts w:hint="eastAsia" w:ascii="仿宋" w:hAnsi="仿宋" w:eastAsia="仿宋" w:cs="仿宋"/>
          <w:sz w:val="28"/>
          <w:szCs w:val="28"/>
        </w:rPr>
        <w:t>，具有相关资质并对此感兴趣的公司参加投标。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val="en-US" w:eastAsia="zh-CN"/>
        </w:rPr>
        <w:t>HGJY-G2023056</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名称：2023年度衡钢钢渣尾渣、白灰让售项目Ⅱ</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项目单位：衡阳衡钢鸿华物流有限公司</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项目内容：电炉渣尾渣的处置，具体为钢渣综合利用生产线（已外委衡钢鸿华物流公司）加工后的废渣，主要有球磨加工后的尾渣、尾渣粒、尾泥、球磨沉淀池清理出的泥浆</w:t>
      </w:r>
      <w:r>
        <w:rPr>
          <w:rFonts w:hint="eastAsia" w:ascii="仿宋" w:hAnsi="仿宋" w:eastAsia="仿宋" w:cs="仿宋"/>
          <w:sz w:val="28"/>
          <w:szCs w:val="28"/>
          <w:lang w:eastAsia="zh-CN"/>
        </w:rPr>
        <w:t>，白灰</w:t>
      </w:r>
      <w:r>
        <w:rPr>
          <w:rFonts w:hint="eastAsia" w:ascii="仿宋" w:hAnsi="仿宋" w:eastAsia="仿宋" w:cs="仿宋"/>
          <w:sz w:val="28"/>
          <w:szCs w:val="28"/>
          <w:lang w:val="en-US" w:eastAsia="zh-CN"/>
        </w:rPr>
        <w:t>渣</w:t>
      </w:r>
      <w:r>
        <w:rPr>
          <w:rFonts w:hint="eastAsia" w:ascii="仿宋" w:hAnsi="仿宋" w:eastAsia="仿宋" w:cs="仿宋"/>
          <w:sz w:val="28"/>
          <w:szCs w:val="28"/>
        </w:rPr>
        <w:t>。</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承包时间：1年</w:t>
      </w:r>
      <w:r>
        <w:rPr>
          <w:rFonts w:hint="eastAsia" w:ascii="仿宋" w:hAnsi="仿宋" w:eastAsia="仿宋" w:cs="仿宋"/>
          <w:sz w:val="28"/>
          <w:szCs w:val="28"/>
          <w:highlight w:val="yellow"/>
        </w:rPr>
        <w:t>（202</w:t>
      </w:r>
      <w:r>
        <w:rPr>
          <w:rFonts w:hint="eastAsia" w:ascii="仿宋" w:hAnsi="仿宋" w:eastAsia="仿宋" w:cs="仿宋"/>
          <w:sz w:val="28"/>
          <w:szCs w:val="28"/>
          <w:highlight w:val="yellow"/>
          <w:lang w:val="en-US" w:eastAsia="zh-CN"/>
        </w:rPr>
        <w:t>3</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6</w:t>
      </w:r>
      <w:r>
        <w:rPr>
          <w:rFonts w:hint="eastAsia" w:ascii="仿宋" w:hAnsi="仿宋" w:eastAsia="仿宋" w:cs="仿宋"/>
          <w:sz w:val="28"/>
          <w:szCs w:val="28"/>
          <w:highlight w:val="yellow"/>
        </w:rPr>
        <w:t>月1日至202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月3</w:t>
      </w:r>
      <w:r>
        <w:rPr>
          <w:rFonts w:hint="eastAsia" w:ascii="仿宋" w:hAnsi="仿宋" w:eastAsia="仿宋" w:cs="仿宋"/>
          <w:sz w:val="28"/>
          <w:szCs w:val="28"/>
          <w:highlight w:val="yellow"/>
          <w:lang w:val="en-US" w:eastAsia="zh-CN"/>
        </w:rPr>
        <w:t>1</w:t>
      </w:r>
      <w:r>
        <w:rPr>
          <w:rFonts w:hint="eastAsia" w:ascii="仿宋" w:hAnsi="仿宋" w:eastAsia="仿宋" w:cs="仿宋"/>
          <w:sz w:val="28"/>
          <w:szCs w:val="28"/>
          <w:highlight w:val="yellow"/>
        </w:rPr>
        <w:t>日）</w:t>
      </w:r>
      <w:r>
        <w:rPr>
          <w:rFonts w:hint="eastAsia" w:ascii="仿宋" w:hAnsi="仿宋" w:eastAsia="仿宋" w:cs="仿宋"/>
          <w:sz w:val="28"/>
          <w:szCs w:val="28"/>
        </w:rPr>
        <w:t>,年度钢渣尾渣</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白灰等</w:t>
      </w:r>
      <w:r>
        <w:rPr>
          <w:rFonts w:hint="eastAsia" w:ascii="仿宋" w:hAnsi="仿宋" w:eastAsia="仿宋" w:cs="仿宋"/>
          <w:sz w:val="28"/>
          <w:szCs w:val="28"/>
        </w:rPr>
        <w:t>产生量约为</w:t>
      </w:r>
      <w:r>
        <w:rPr>
          <w:rFonts w:hint="eastAsia" w:ascii="仿宋" w:hAnsi="仿宋" w:eastAsia="仿宋" w:cs="仿宋"/>
          <w:sz w:val="28"/>
          <w:szCs w:val="28"/>
          <w:lang w:val="en-US" w:eastAsia="zh-CN"/>
        </w:rPr>
        <w:t>300000</w:t>
      </w:r>
      <w:r>
        <w:rPr>
          <w:rFonts w:hint="eastAsia" w:ascii="仿宋" w:hAnsi="仿宋" w:eastAsia="仿宋" w:cs="仿宋"/>
          <w:sz w:val="28"/>
          <w:szCs w:val="28"/>
        </w:rPr>
        <w:t>吨（以实际过磅重量为准）。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提货地点：衡阳华菱连轧管有限公司钢渣综合利用生产线</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其他要求：中标通知单下达2个工作日内须与招标方签订合同，逾期未签订合同视为放弃相关权利，且罚没投标保证金，如给招标方造成的损失超过投标保证的，招标保留追究的权力。 </w:t>
      </w:r>
    </w:p>
    <w:p>
      <w:pPr>
        <w:pStyle w:val="6"/>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shd w:val="clear" w:color="auto" w:fill="auto"/>
        </w:rPr>
      </w:pPr>
      <w:r>
        <w:rPr>
          <w:rFonts w:hint="eastAsia" w:ascii="仿宋" w:hAnsi="仿宋" w:eastAsia="仿宋" w:cs="仿宋"/>
          <w:sz w:val="28"/>
          <w:szCs w:val="28"/>
        </w:rPr>
        <w:t>具有独立法人资格并依法取得企业营业执照，营业执照处于有效期内，</w:t>
      </w:r>
      <w:r>
        <w:rPr>
          <w:rFonts w:hint="eastAsia" w:ascii="仿宋" w:hAnsi="仿宋" w:eastAsia="仿宋" w:cs="仿宋"/>
          <w:color w:val="auto"/>
          <w:sz w:val="28"/>
          <w:szCs w:val="28"/>
          <w:shd w:val="clear" w:color="auto" w:fill="auto"/>
        </w:rPr>
        <w:t>注册资金200万元及以上。</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具有尾渣处置、堆放场地，提供明确的产权证明或租赁协议。场地符合环保要求（有防风防雨的厂棚、地面硬化、有降尘设施和废水收集处理设施等），办理了环保手续或提供由生态环境部门出具的正在办理环保手续的证明。</w:t>
      </w:r>
    </w:p>
    <w:p>
      <w:pPr>
        <w:pStyle w:val="6"/>
        <w:numPr>
          <w:ilvl w:val="1"/>
          <w:numId w:val="2"/>
        </w:numPr>
        <w:adjustRightInd w:val="0"/>
        <w:snapToGrid w:val="0"/>
        <w:spacing w:line="360" w:lineRule="exact"/>
        <w:ind w:firstLineChars="0"/>
        <w:contextualSpacing/>
        <w:rPr>
          <w:rFonts w:hint="eastAsia" w:ascii="仿宋" w:hAnsi="仿宋" w:eastAsia="仿宋" w:cs="仿宋"/>
          <w:color w:val="auto"/>
          <w:sz w:val="28"/>
          <w:szCs w:val="28"/>
          <w:highlight w:val="none"/>
          <w:shd w:val="clear" w:color="auto" w:fill="auto"/>
        </w:rPr>
      </w:pPr>
      <w:r>
        <w:rPr>
          <w:rFonts w:hint="eastAsia" w:ascii="仿宋" w:hAnsi="仿宋" w:eastAsia="仿宋" w:cs="仿宋"/>
          <w:color w:val="auto"/>
          <w:sz w:val="28"/>
          <w:szCs w:val="28"/>
          <w:highlight w:val="none"/>
          <w:shd w:val="clear" w:color="auto" w:fill="auto"/>
        </w:rPr>
        <w:t>投标人所有质证证件在开标前交招标方安全环保部备案确认。</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招标要求：</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参与投标的投标方，须按开标一览表格式进行报价，只允许一个报价（报价标的物包含尾渣、尾渣粒、尾泥、球磨沉淀池清理出的泥浆等）。</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对所有投标方的投标文件格式、资格证明文件、投标保证金等实质性内容进行评审，否决未实质响应投标要求投标文件；实质性响应招标文件要求的投标人，按照经评审后的报价从高到低排名确定预中标候选人名次。</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本项目经评审的最高价为预中标价(原则上一家单位中标)，如最高价相同且达到招标方的期望值，则由评委会根据投标方的服务、业绩、保障能力、胜任度、风险等方面进行评审或增加报从轮次确定名次。</w:t>
      </w:r>
      <w:r>
        <w:rPr>
          <w:rFonts w:hint="eastAsia" w:ascii="仿宋" w:hAnsi="仿宋" w:eastAsia="仿宋" w:cs="仿宋"/>
          <w:color w:val="auto"/>
          <w:sz w:val="28"/>
          <w:szCs w:val="28"/>
          <w:highlight w:val="none"/>
        </w:rPr>
        <w:t>也可将合同授予不同的投标单位。当招标方将合同授予二个不同的投标单位时，合同量原则上按</w:t>
      </w:r>
      <w:r>
        <w:rPr>
          <w:rFonts w:hint="eastAsia" w:ascii="仿宋" w:hAnsi="仿宋" w:eastAsia="仿宋" w:cs="仿宋"/>
          <w:color w:val="0000FF"/>
          <w:sz w:val="28"/>
          <w:szCs w:val="28"/>
          <w:highlight w:val="none"/>
        </w:rPr>
        <w:t>7：3</w:t>
      </w:r>
      <w:r>
        <w:rPr>
          <w:rFonts w:hint="eastAsia" w:ascii="仿宋" w:hAnsi="仿宋" w:eastAsia="仿宋" w:cs="仿宋"/>
          <w:color w:val="auto"/>
          <w:sz w:val="28"/>
          <w:szCs w:val="28"/>
          <w:highlight w:val="none"/>
        </w:rPr>
        <w:t>比例进行分配；当招标方将供货合同授予不同的投标单位时，</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价为中标单位的</w:t>
      </w:r>
      <w:r>
        <w:rPr>
          <w:rFonts w:hint="eastAsia" w:ascii="仿宋" w:hAnsi="仿宋" w:eastAsia="仿宋" w:cs="仿宋"/>
          <w:color w:val="auto"/>
          <w:sz w:val="28"/>
          <w:szCs w:val="28"/>
          <w:highlight w:val="none"/>
          <w:lang w:val="en-US" w:eastAsia="zh-CN"/>
        </w:rPr>
        <w:t>总价</w:t>
      </w:r>
      <w:r>
        <w:rPr>
          <w:rFonts w:hint="eastAsia" w:ascii="仿宋" w:hAnsi="仿宋" w:eastAsia="仿宋" w:cs="仿宋"/>
          <w:color w:val="auto"/>
          <w:sz w:val="28"/>
          <w:szCs w:val="28"/>
          <w:highlight w:val="none"/>
        </w:rPr>
        <w:t>最</w:t>
      </w:r>
      <w:r>
        <w:rPr>
          <w:rFonts w:hint="eastAsia" w:ascii="仿宋" w:hAnsi="仿宋" w:eastAsia="仿宋" w:cs="仿宋"/>
          <w:color w:val="auto"/>
          <w:sz w:val="28"/>
          <w:szCs w:val="28"/>
          <w:highlight w:val="none"/>
          <w:lang w:val="en-US" w:eastAsia="zh-CN"/>
        </w:rPr>
        <w:t>高</w:t>
      </w:r>
      <w:r>
        <w:rPr>
          <w:rFonts w:hint="eastAsia" w:ascii="仿宋" w:hAnsi="仿宋" w:eastAsia="仿宋" w:cs="仿宋"/>
          <w:color w:val="auto"/>
          <w:sz w:val="28"/>
          <w:szCs w:val="28"/>
          <w:highlight w:val="none"/>
        </w:rPr>
        <w:t>价</w:t>
      </w:r>
      <w:r>
        <w:rPr>
          <w:rFonts w:hint="eastAsia" w:ascii="仿宋" w:hAnsi="仿宋" w:eastAsia="仿宋" w:cs="仿宋"/>
          <w:color w:val="auto"/>
          <w:sz w:val="28"/>
          <w:szCs w:val="28"/>
          <w:highlight w:val="none"/>
          <w:lang w:eastAsia="zh-CN"/>
        </w:rPr>
        <w:t>。</w:t>
      </w:r>
      <w:r>
        <w:rPr>
          <w:rFonts w:hint="eastAsia" w:ascii="仿宋" w:hAnsi="仿宋" w:eastAsia="仿宋" w:cs="仿宋"/>
          <w:sz w:val="28"/>
          <w:szCs w:val="28"/>
          <w:highlight w:val="none"/>
        </w:rPr>
        <w:t>如所有投标单位的</w:t>
      </w:r>
      <w:r>
        <w:rPr>
          <w:rFonts w:hint="eastAsia" w:ascii="仿宋" w:hAnsi="仿宋" w:eastAsia="仿宋" w:cs="仿宋"/>
          <w:sz w:val="28"/>
          <w:szCs w:val="28"/>
        </w:rPr>
        <w:t>报价均低于招标方的期望值，该项目废标。</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评委会可根据项目特点、市场状况、投标单位数量及价格等评审实际情况改变竞议价轮次与方式选择中标候选人。</w:t>
      </w:r>
    </w:p>
    <w:p>
      <w:pPr>
        <w:pStyle w:val="6"/>
        <w:numPr>
          <w:ilvl w:val="1"/>
          <w:numId w:val="2"/>
        </w:numPr>
        <w:adjustRightInd w:val="0"/>
        <w:snapToGrid w:val="0"/>
        <w:spacing w:line="360" w:lineRule="exact"/>
        <w:ind w:left="851" w:leftChars="0" w:hanging="851"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投标方报价前需现场查看，了解标的物数量、成分等实际情况。标的物以实物现状为准，投标方的报价行为视为已对标的物现状的确认，招标方不承担标的物的</w:t>
      </w:r>
      <w:r>
        <w:rPr>
          <w:rFonts w:hint="eastAsia" w:ascii="仿宋" w:hAnsi="仿宋" w:eastAsia="仿宋" w:cs="仿宋"/>
          <w:sz w:val="28"/>
          <w:szCs w:val="28"/>
          <w:highlight w:val="none"/>
        </w:rPr>
        <w:t>瑕疵保证。未看样的投标方视为对本标的实物现状的确认，责任自负。</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请各投标人自行在衡阳华菱钢管有限公司网站（http://www.hysteeltube.com/zbgg）下载招标文件、报价清单、技术附件等。</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不收取</w:t>
      </w:r>
      <w:r>
        <w:rPr>
          <w:rFonts w:hint="eastAsia" w:ascii="仿宋" w:hAnsi="仿宋" w:eastAsia="仿宋" w:cs="仿宋"/>
          <w:sz w:val="28"/>
          <w:szCs w:val="28"/>
          <w:highlight w:val="none"/>
        </w:rPr>
        <w:t>。</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b/>
          <w:sz w:val="24"/>
          <w:szCs w:val="24"/>
          <w:highlight w:val="none"/>
          <w:u w:val="single"/>
        </w:rPr>
        <w:t>20万元人民币</w:t>
      </w:r>
      <w:r>
        <w:rPr>
          <w:rFonts w:hint="eastAsia" w:ascii="仿宋" w:hAnsi="仿宋" w:eastAsia="仿宋" w:cs="仿宋"/>
          <w:sz w:val="28"/>
          <w:szCs w:val="28"/>
          <w:highlight w:val="none"/>
        </w:rPr>
        <w:t>。</w:t>
      </w:r>
    </w:p>
    <w:p>
      <w:pPr>
        <w:pStyle w:val="6"/>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highlight w:val="none"/>
        </w:rPr>
        <w:t>投标保证金缴纳截止时间为投标截止</w:t>
      </w:r>
      <w:r>
        <w:rPr>
          <w:rFonts w:hint="eastAsia" w:ascii="仿宋" w:hAnsi="仿宋" w:eastAsia="仿宋" w:cs="仿宋"/>
          <w:sz w:val="28"/>
          <w:szCs w:val="28"/>
        </w:rPr>
        <w:t>时间</w:t>
      </w:r>
      <w:r>
        <w:rPr>
          <w:rFonts w:hint="eastAsia" w:ascii="仿宋" w:hAnsi="仿宋" w:eastAsia="仿宋" w:cs="仿宋"/>
          <w:sz w:val="28"/>
          <w:szCs w:val="28"/>
          <w:lang w:eastAsia="zh-CN"/>
        </w:rPr>
        <w:t>，</w:t>
      </w:r>
      <w:r>
        <w:rPr>
          <w:rFonts w:hint="eastAsia" w:ascii="仿宋" w:hAnsi="仿宋" w:eastAsia="仿宋" w:cs="仿宋"/>
          <w:sz w:val="28"/>
          <w:szCs w:val="28"/>
        </w:rPr>
        <w:t>电汇到衡阳华菱连轧管有限公司帐户，逾期收到恕不接受。</w:t>
      </w:r>
    </w:p>
    <w:p>
      <w:pPr>
        <w:pStyle w:val="6"/>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i w:val="0"/>
          <w:iCs w:val="0"/>
          <w:sz w:val="28"/>
          <w:szCs w:val="28"/>
          <w:highlight w:val="none"/>
          <w:u w:val="single"/>
        </w:rPr>
        <w:t>202</w:t>
      </w:r>
      <w:r>
        <w:rPr>
          <w:rFonts w:hint="eastAsia" w:ascii="仿宋" w:hAnsi="仿宋" w:eastAsia="仿宋" w:cs="仿宋"/>
          <w:b/>
          <w:i w:val="0"/>
          <w:iCs w:val="0"/>
          <w:sz w:val="28"/>
          <w:szCs w:val="28"/>
          <w:highlight w:val="none"/>
          <w:u w:val="single"/>
          <w:lang w:val="en-US" w:eastAsia="zh-CN"/>
        </w:rPr>
        <w:t>3</w:t>
      </w:r>
      <w:r>
        <w:rPr>
          <w:rFonts w:hint="eastAsia" w:ascii="仿宋" w:hAnsi="仿宋" w:eastAsia="仿宋" w:cs="仿宋"/>
          <w:b/>
          <w:i w:val="0"/>
          <w:iCs w:val="0"/>
          <w:sz w:val="28"/>
          <w:szCs w:val="28"/>
          <w:highlight w:val="none"/>
          <w:u w:val="single"/>
        </w:rPr>
        <w:t>年</w:t>
      </w:r>
      <w:r>
        <w:rPr>
          <w:rFonts w:hint="eastAsia" w:ascii="仿宋" w:hAnsi="仿宋" w:eastAsia="仿宋" w:cs="仿宋"/>
          <w:b/>
          <w:i w:val="0"/>
          <w:iCs w:val="0"/>
          <w:sz w:val="28"/>
          <w:szCs w:val="28"/>
          <w:highlight w:val="none"/>
          <w:u w:val="single"/>
          <w:lang w:val="en-US" w:eastAsia="zh-CN"/>
        </w:rPr>
        <w:t>5</w:t>
      </w:r>
      <w:r>
        <w:rPr>
          <w:rFonts w:hint="eastAsia" w:ascii="仿宋" w:hAnsi="仿宋" w:eastAsia="仿宋" w:cs="仿宋"/>
          <w:b/>
          <w:i w:val="0"/>
          <w:iCs w:val="0"/>
          <w:sz w:val="28"/>
          <w:szCs w:val="28"/>
          <w:highlight w:val="none"/>
          <w:u w:val="single"/>
        </w:rPr>
        <w:t>月</w:t>
      </w:r>
      <w:r>
        <w:rPr>
          <w:rFonts w:hint="eastAsia" w:ascii="仿宋" w:hAnsi="仿宋" w:eastAsia="仿宋" w:cs="仿宋"/>
          <w:b/>
          <w:i w:val="0"/>
          <w:iCs w:val="0"/>
          <w:sz w:val="28"/>
          <w:szCs w:val="28"/>
          <w:highlight w:val="none"/>
          <w:u w:val="single"/>
          <w:lang w:val="en-US" w:eastAsia="zh-CN"/>
        </w:rPr>
        <w:t>23</w:t>
      </w:r>
      <w:r>
        <w:rPr>
          <w:rFonts w:hint="eastAsia" w:ascii="仿宋" w:hAnsi="仿宋" w:eastAsia="仿宋" w:cs="仿宋"/>
          <w:b/>
          <w:i w:val="0"/>
          <w:iCs w:val="0"/>
          <w:sz w:val="28"/>
          <w:szCs w:val="28"/>
          <w:highlight w:val="none"/>
          <w:u w:val="single"/>
        </w:rPr>
        <w:t>日</w:t>
      </w:r>
      <w:r>
        <w:rPr>
          <w:rFonts w:hint="eastAsia" w:ascii="仿宋" w:hAnsi="仿宋" w:eastAsia="仿宋" w:cs="仿宋"/>
          <w:b/>
          <w:i w:val="0"/>
          <w:iCs w:val="0"/>
          <w:sz w:val="28"/>
          <w:szCs w:val="28"/>
          <w:highlight w:val="none"/>
          <w:u w:val="single"/>
          <w:lang w:val="en-US" w:eastAsia="zh-CN"/>
        </w:rPr>
        <w:t>上</w:t>
      </w:r>
      <w:r>
        <w:rPr>
          <w:rFonts w:hint="eastAsia" w:ascii="仿宋" w:hAnsi="仿宋" w:eastAsia="仿宋" w:cs="仿宋"/>
          <w:b/>
          <w:i w:val="0"/>
          <w:iCs w:val="0"/>
          <w:sz w:val="28"/>
          <w:szCs w:val="28"/>
          <w:highlight w:val="none"/>
          <w:u w:val="single"/>
        </w:rPr>
        <w:t>午</w:t>
      </w:r>
      <w:r>
        <w:rPr>
          <w:rFonts w:hint="eastAsia" w:ascii="仿宋" w:hAnsi="仿宋" w:eastAsia="仿宋" w:cs="仿宋"/>
          <w:b/>
          <w:i w:val="0"/>
          <w:iCs w:val="0"/>
          <w:sz w:val="28"/>
          <w:szCs w:val="28"/>
          <w:highlight w:val="none"/>
          <w:u w:val="single"/>
          <w:lang w:val="en-US" w:eastAsia="zh-CN"/>
        </w:rPr>
        <w:t>9</w:t>
      </w:r>
      <w:r>
        <w:rPr>
          <w:rFonts w:hint="eastAsia" w:ascii="仿宋" w:hAnsi="仿宋" w:eastAsia="仿宋" w:cs="仿宋"/>
          <w:b/>
          <w:i w:val="0"/>
          <w:iCs w:val="0"/>
          <w:sz w:val="28"/>
          <w:szCs w:val="28"/>
          <w:highlight w:val="none"/>
          <w:u w:val="single"/>
        </w:rPr>
        <w:t>:</w:t>
      </w:r>
      <w:r>
        <w:rPr>
          <w:rFonts w:hint="eastAsia" w:ascii="仿宋" w:hAnsi="仿宋" w:eastAsia="仿宋" w:cs="仿宋"/>
          <w:b/>
          <w:i w:val="0"/>
          <w:iCs w:val="0"/>
          <w:sz w:val="28"/>
          <w:szCs w:val="28"/>
          <w:highlight w:val="none"/>
          <w:u w:val="single"/>
          <w:lang w:val="en-US" w:eastAsia="zh-CN"/>
        </w:rPr>
        <w:t>30</w:t>
      </w:r>
      <w:r>
        <w:rPr>
          <w:rFonts w:hint="eastAsia" w:ascii="仿宋" w:hAnsi="仿宋" w:eastAsia="仿宋" w:cs="仿宋"/>
          <w:b/>
          <w:i w:val="0"/>
          <w:iCs w:val="0"/>
          <w:sz w:val="28"/>
          <w:szCs w:val="28"/>
          <w:u w:val="single"/>
        </w:rPr>
        <w:t xml:space="preserve"> </w:t>
      </w:r>
      <w:r>
        <w:rPr>
          <w:rFonts w:hint="eastAsia" w:ascii="仿宋" w:hAnsi="仿宋" w:eastAsia="仿宋" w:cs="仿宋"/>
          <w:b/>
          <w:sz w:val="28"/>
          <w:szCs w:val="28"/>
        </w:rPr>
        <w:t>(北京时间)</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r>
        <w:rPr>
          <w:rFonts w:hint="eastAsia" w:ascii="仿宋" w:hAnsi="仿宋" w:eastAsia="仿宋" w:cs="仿宋"/>
          <w:sz w:val="28"/>
          <w:szCs w:val="28"/>
          <w:lang w:eastAsia="zh-CN"/>
        </w:rPr>
        <w:t>，</w:t>
      </w:r>
      <w:r>
        <w:rPr>
          <w:rFonts w:hint="eastAsia" w:ascii="仿宋" w:hAnsi="仿宋" w:eastAsia="仿宋" w:cs="仿宋"/>
          <w:sz w:val="28"/>
          <w:szCs w:val="28"/>
        </w:rPr>
        <w:t>届时请参加投标的代表出席开标仪式</w:t>
      </w:r>
      <w:r>
        <w:rPr>
          <w:rFonts w:hint="eastAsia" w:ascii="仿宋" w:hAnsi="仿宋" w:eastAsia="仿宋" w:cs="仿宋"/>
          <w:sz w:val="28"/>
          <w:szCs w:val="28"/>
          <w:highlight w:val="none"/>
        </w:rPr>
        <w:t xml:space="preserve">。            </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yellow"/>
        </w:rPr>
      </w:pPr>
      <w:r>
        <w:rPr>
          <w:rFonts w:hint="eastAsia" w:ascii="仿宋" w:hAnsi="仿宋" w:eastAsia="仿宋" w:cs="仿宋"/>
          <w:sz w:val="28"/>
          <w:szCs w:val="28"/>
          <w:highlight w:val="yellow"/>
        </w:rPr>
        <w:t>逾期送达的或者未送达指定地点或未按要求密封和加写标记的投标文件，招标人不予受理。</w:t>
      </w:r>
    </w:p>
    <w:p>
      <w:pPr>
        <w:pStyle w:val="6"/>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采用电子邮件投标的，发送</w:t>
      </w:r>
      <w:r>
        <w:rPr>
          <w:rFonts w:hint="eastAsia" w:ascii="仿宋" w:hAnsi="仿宋" w:eastAsia="仿宋" w:cs="仿宋"/>
          <w:sz w:val="28"/>
          <w:szCs w:val="28"/>
          <w:highlight w:val="none"/>
          <w:lang w:val="en-US" w:eastAsia="zh-CN"/>
        </w:rPr>
        <w:t>电子投标文件</w:t>
      </w:r>
      <w:r>
        <w:rPr>
          <w:rFonts w:hint="eastAsia" w:ascii="仿宋" w:hAnsi="仿宋" w:eastAsia="仿宋" w:cs="仿宋"/>
          <w:sz w:val="28"/>
          <w:szCs w:val="28"/>
          <w:highlight w:val="none"/>
        </w:rPr>
        <w:t>至招标方指定接收投标文件的邮箱（hyst-zb1@hysteeltube.com），迟到或发错邮箱的投标文件将被拒绝(视同废标)。</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本项目采用经评审的最</w:t>
      </w:r>
      <w:r>
        <w:rPr>
          <w:rFonts w:hint="eastAsia" w:ascii="仿宋" w:hAnsi="仿宋" w:eastAsia="仿宋" w:cs="仿宋"/>
          <w:sz w:val="28"/>
          <w:szCs w:val="28"/>
          <w:highlight w:val="none"/>
          <w:lang w:val="en-US" w:eastAsia="zh-CN"/>
        </w:rPr>
        <w:t>高</w:t>
      </w:r>
      <w:r>
        <w:rPr>
          <w:rFonts w:hint="eastAsia" w:ascii="仿宋" w:hAnsi="仿宋" w:eastAsia="仿宋" w:cs="仿宋"/>
          <w:sz w:val="28"/>
          <w:szCs w:val="28"/>
          <w:highlight w:val="none"/>
        </w:rPr>
        <w:t>价中标法。</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0"/>
        </w:numPr>
        <w:snapToGrid w:val="0"/>
        <w:spacing w:line="400" w:lineRule="exact"/>
        <w:ind w:leftChars="0" w:firstLine="840" w:firstLineChars="30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3864862"/>
      <w:bookmarkStart w:id="3" w:name="_Toc300677994"/>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lang w:eastAsia="zh-CN"/>
        </w:rPr>
      </w:pPr>
      <w:r>
        <w:rPr>
          <w:rFonts w:hint="eastAsia" w:ascii="仿宋" w:hAnsi="仿宋" w:eastAsia="仿宋" w:cs="仿宋"/>
          <w:sz w:val="28"/>
          <w:szCs w:val="28"/>
        </w:rPr>
        <w:t>项目联系人：</w:t>
      </w:r>
      <w:r>
        <w:rPr>
          <w:rFonts w:hint="eastAsia" w:ascii="仿宋" w:hAnsi="仿宋" w:eastAsia="仿宋" w:cs="仿宋"/>
          <w:sz w:val="28"/>
          <w:szCs w:val="28"/>
          <w:lang w:eastAsia="zh-CN"/>
        </w:rPr>
        <w:t>周邵衡</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5504</w:t>
      </w:r>
      <w:r>
        <w:rPr>
          <w:rFonts w:hint="eastAsia" w:ascii="仿宋" w:hAnsi="仿宋" w:eastAsia="仿宋" w:cs="仿宋"/>
          <w:sz w:val="28"/>
          <w:szCs w:val="28"/>
        </w:rPr>
        <w:t>（办） 　　　　　  手机：13</w:t>
      </w:r>
      <w:r>
        <w:rPr>
          <w:rFonts w:hint="eastAsia" w:ascii="仿宋" w:hAnsi="仿宋" w:eastAsia="仿宋" w:cs="仿宋"/>
          <w:sz w:val="28"/>
          <w:szCs w:val="28"/>
          <w:lang w:val="en-US" w:eastAsia="zh-CN"/>
        </w:rPr>
        <w:t>974765889</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rPr>
        <w:t>E</w:t>
      </w:r>
      <w:r>
        <w:rPr>
          <w:rFonts w:hint="eastAsia" w:ascii="仿宋" w:hAnsi="仿宋" w:eastAsia="仿宋" w:cs="仿宋"/>
          <w:sz w:val="28"/>
          <w:szCs w:val="28"/>
          <w:highlight w:val="none"/>
        </w:rPr>
        <w:t>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3"/>
      <w:lvlText w:val="第%1部分"/>
      <w:lvlJc w:val="left"/>
      <w:pPr>
        <w:tabs>
          <w:tab w:val="left" w:pos="2007"/>
        </w:tabs>
        <w:ind w:left="227" w:firstLine="340"/>
      </w:pPr>
      <w:rPr>
        <w:rFonts w:hint="eastAsia" w:ascii="仿宋" w:hAnsi="仿宋" w:eastAsia="仿宋" w:cs="仿宋"/>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DF22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400" w:lineRule="exact"/>
      <w:ind w:firstLine="629" w:firstLineChars="262"/>
    </w:pPr>
    <w:rPr>
      <w:rFonts w:ascii="宋体" w:hAnsi="宋体"/>
      <w:color w:val="000000"/>
      <w:sz w:val="24"/>
    </w:rPr>
  </w:style>
  <w:style w:type="paragraph" w:styleId="3">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2023-05-12T05:52:36Z</dcterms:created>
  <dc:creator>Administrator</dc:creator>
  <cp:lastModifiedBy>Administrator</cp:lastModifiedBy>
  <dcterms:modified xsi:type="dcterms:W3CDTF">2023-05-12T05:53:05Z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4C4A3AA44CB241E8BD7C0D5F99D0B137_12</vt:lpwstr>
  </property>
</Properties>
</file>