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heme="minorEastAsia" w:hAnsiTheme="minorEastAsia" w:eastAsiaTheme="minorEastAsia"/>
          <w:sz w:val="28"/>
          <w:szCs w:val="28"/>
        </w:rPr>
      </w:pPr>
      <w:bookmarkStart w:id="0" w:name="_Toc526246862"/>
      <w:bookmarkStart w:id="1" w:name="_Toc61354154"/>
      <w:bookmarkStart w:id="2" w:name="_Toc526778066"/>
      <w:bookmarkStart w:id="3" w:name="_Toc526861349"/>
      <w:bookmarkStart w:id="4" w:name="_Toc303864864"/>
      <w:bookmarkStart w:id="5" w:name="_Toc300678051"/>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6"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pPr>
        <w:spacing w:line="360" w:lineRule="auto"/>
        <w:ind w:firstLine="4340" w:firstLineChars="1550"/>
        <w:rPr>
          <w:rFonts w:asciiTheme="minorEastAsia" w:hAnsiTheme="minorEastAsia" w:eastAsiaTheme="minorEastAsia"/>
          <w:sz w:val="28"/>
          <w:szCs w:val="28"/>
        </w:rPr>
      </w:pPr>
    </w:p>
    <w:p>
      <w:pPr>
        <w:rPr>
          <w:rFonts w:asciiTheme="minorEastAsia" w:hAnsiTheme="minorEastAsia" w:eastAsiaTheme="minorEastAsia"/>
          <w:sz w:val="28"/>
          <w:szCs w:val="28"/>
        </w:rPr>
      </w:pPr>
      <w:bookmarkStart w:id="6" w:name="_Toc303864854"/>
      <w:bookmarkStart w:id="7" w:name="_Toc300677986"/>
    </w:p>
    <w:p>
      <w:pPr>
        <w:rPr>
          <w:rFonts w:asciiTheme="minorEastAsia" w:hAnsiTheme="minorEastAsia" w:eastAsiaTheme="minorEastAsia"/>
          <w:sz w:val="28"/>
          <w:szCs w:val="28"/>
        </w:rPr>
      </w:pPr>
    </w:p>
    <w:p>
      <w:pPr>
        <w:spacing w:line="360" w:lineRule="auto"/>
        <w:ind w:left="400" w:right="400"/>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招标文件</w:t>
      </w:r>
    </w:p>
    <w:p>
      <w:pPr>
        <w:ind w:firstLine="435"/>
        <w:rPr>
          <w:rFonts w:asciiTheme="minorEastAsia" w:hAnsiTheme="minorEastAsia" w:eastAsiaTheme="minorEastAsia"/>
          <w:sz w:val="28"/>
          <w:szCs w:val="28"/>
        </w:rPr>
      </w:pPr>
    </w:p>
    <w:p>
      <w:pPr>
        <w:rPr>
          <w:rFonts w:asciiTheme="minorEastAsia" w:hAnsiTheme="minorEastAsia" w:eastAsiaTheme="minorEastAsia"/>
          <w:sz w:val="28"/>
          <w:szCs w:val="28"/>
        </w:rPr>
      </w:pPr>
    </w:p>
    <w:p>
      <w:pPr>
        <w:jc w:val="center"/>
        <w:rPr>
          <w:rFonts w:asciiTheme="minorEastAsia" w:hAnsiTheme="minorEastAsia" w:eastAsiaTheme="minorEastAsia"/>
          <w:b/>
          <w:sz w:val="28"/>
          <w:szCs w:val="28"/>
        </w:rPr>
      </w:pPr>
    </w:p>
    <w:p>
      <w:pPr>
        <w:jc w:val="center"/>
        <w:rPr>
          <w:rFonts w:asciiTheme="minorEastAsia" w:hAnsiTheme="minorEastAsia" w:eastAsiaTheme="minorEastAsia"/>
          <w:b/>
          <w:bCs/>
          <w:sz w:val="32"/>
          <w:szCs w:val="32"/>
        </w:rPr>
      </w:pPr>
    </w:p>
    <w:p>
      <w:pPr>
        <w:ind w:firstLine="851" w:firstLineChars="265"/>
        <w:rPr>
          <w:rFonts w:hint="default" w:asciiTheme="minorEastAsia" w:hAnsiTheme="minorEastAsia" w:eastAsiaTheme="minorEastAsia"/>
          <w:b/>
          <w:bCs/>
          <w:sz w:val="32"/>
          <w:szCs w:val="32"/>
          <w:lang w:val="en-US" w:eastAsia="zh-CN"/>
        </w:rPr>
      </w:pPr>
      <w:r>
        <w:rPr>
          <w:rFonts w:hint="eastAsia" w:asciiTheme="minorEastAsia" w:hAnsiTheme="minorEastAsia" w:eastAsiaTheme="minorEastAsia"/>
          <w:b/>
          <w:sz w:val="32"/>
          <w:szCs w:val="32"/>
        </w:rPr>
        <w:t>项目编号：</w:t>
      </w:r>
      <w:r>
        <w:rPr>
          <w:rFonts w:hint="eastAsia" w:asciiTheme="minorEastAsia" w:hAnsiTheme="minorEastAsia" w:eastAsiaTheme="minorEastAsia"/>
          <w:b/>
          <w:sz w:val="32"/>
          <w:szCs w:val="32"/>
          <w:lang w:val="en-US" w:eastAsia="zh-CN"/>
        </w:rPr>
        <w:t>HGJY-G2023084</w:t>
      </w:r>
    </w:p>
    <w:p>
      <w:pPr>
        <w:ind w:firstLine="851" w:firstLineChars="265"/>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项目名称：202</w:t>
      </w:r>
      <w:r>
        <w:rPr>
          <w:rFonts w:hint="eastAsia" w:asciiTheme="minorEastAsia" w:hAnsiTheme="minorEastAsia" w:eastAsiaTheme="minorEastAsia"/>
          <w:b/>
          <w:bCs/>
          <w:sz w:val="32"/>
          <w:szCs w:val="32"/>
          <w:lang w:val="en-US" w:eastAsia="zh-CN"/>
        </w:rPr>
        <w:t>3</w:t>
      </w:r>
      <w:r>
        <w:rPr>
          <w:rFonts w:hint="eastAsia" w:asciiTheme="minorEastAsia" w:hAnsiTheme="minorEastAsia" w:eastAsiaTheme="minorEastAsia"/>
          <w:b/>
          <w:bCs/>
          <w:sz w:val="32"/>
          <w:szCs w:val="32"/>
        </w:rPr>
        <w:t>年</w:t>
      </w:r>
      <w:r>
        <w:rPr>
          <w:rFonts w:hint="eastAsia" w:asciiTheme="minorEastAsia" w:hAnsiTheme="minorEastAsia" w:eastAsiaTheme="minorEastAsia"/>
          <w:b/>
          <w:bCs/>
          <w:sz w:val="32"/>
          <w:szCs w:val="32"/>
          <w:lang w:val="en-US" w:eastAsia="zh-CN"/>
        </w:rPr>
        <w:t>7-12</w:t>
      </w:r>
      <w:r>
        <w:rPr>
          <w:rFonts w:hint="eastAsia" w:asciiTheme="minorEastAsia" w:hAnsiTheme="minorEastAsia" w:eastAsiaTheme="minorEastAsia"/>
          <w:b/>
          <w:bCs/>
          <w:sz w:val="32"/>
          <w:szCs w:val="32"/>
        </w:rPr>
        <w:t>月炼钢用</w:t>
      </w:r>
      <w:r>
        <w:rPr>
          <w:rFonts w:hint="eastAsia" w:ascii="宋体" w:hAnsi="宋体" w:cs="宋体"/>
          <w:b/>
          <w:bCs/>
          <w:sz w:val="32"/>
          <w:szCs w:val="32"/>
        </w:rPr>
        <w:t>高碱度覆</w:t>
      </w:r>
      <w:r>
        <w:rPr>
          <w:rFonts w:hint="eastAsia" w:ascii="宋体" w:hAnsi="宋体"/>
          <w:b/>
          <w:bCs/>
          <w:sz w:val="32"/>
          <w:szCs w:val="32"/>
        </w:rPr>
        <w:t>盖剂</w:t>
      </w:r>
      <w:r>
        <w:rPr>
          <w:rFonts w:hint="eastAsia" w:ascii="宋体" w:hAnsi="宋体" w:cs="宋体"/>
          <w:b/>
          <w:bCs/>
          <w:sz w:val="32"/>
          <w:szCs w:val="32"/>
        </w:rPr>
        <w:t>采购项目</w:t>
      </w:r>
    </w:p>
    <w:p>
      <w:pPr>
        <w:spacing w:line="320" w:lineRule="atLeast"/>
        <w:ind w:left="3171" w:leftChars="753" w:right="1415" w:rightChars="674" w:hanging="1590" w:hangingChars="495"/>
        <w:rPr>
          <w:rFonts w:asciiTheme="minorEastAsia" w:hAnsiTheme="minorEastAsia" w:eastAsiaTheme="minorEastAsia"/>
          <w:b/>
          <w:bCs/>
          <w:sz w:val="32"/>
          <w:szCs w:val="32"/>
        </w:rPr>
      </w:pPr>
    </w:p>
    <w:p>
      <w:pPr>
        <w:ind w:firstLine="1590" w:firstLineChars="495"/>
        <w:jc w:val="left"/>
        <w:rPr>
          <w:rFonts w:asciiTheme="minorEastAsia" w:hAnsiTheme="minorEastAsia" w:eastAsiaTheme="minorEastAsia"/>
          <w:b/>
          <w:sz w:val="32"/>
          <w:szCs w:val="32"/>
        </w:rPr>
      </w:pPr>
    </w:p>
    <w:p>
      <w:pPr>
        <w:spacing w:line="360" w:lineRule="auto"/>
        <w:jc w:val="center"/>
        <w:rPr>
          <w:rFonts w:asciiTheme="minorEastAsia" w:hAnsiTheme="minorEastAsia" w:eastAsiaTheme="minorEastAsia"/>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exact"/>
        <w:ind w:firstLine="566" w:firstLineChars="177"/>
        <w:rPr>
          <w:rFonts w:asciiTheme="minorEastAsia" w:hAnsiTheme="minorEastAsia" w:eastAsiaTheme="minorEastAsia"/>
          <w:sz w:val="32"/>
          <w:szCs w:val="32"/>
        </w:rPr>
      </w:pPr>
    </w:p>
    <w:p>
      <w:pPr>
        <w:adjustRightInd w:val="0"/>
        <w:snapToGrid w:val="0"/>
        <w:spacing w:line="320" w:lineRule="atLeast"/>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衡阳华菱</w:t>
      </w:r>
      <w:r>
        <w:rPr>
          <w:rFonts w:hint="eastAsia" w:asciiTheme="minorEastAsia" w:hAnsiTheme="minorEastAsia" w:eastAsiaTheme="minorEastAsia"/>
          <w:b/>
          <w:bCs/>
          <w:sz w:val="32"/>
          <w:szCs w:val="32"/>
        </w:rPr>
        <w:t>连轧管</w:t>
      </w:r>
      <w:r>
        <w:rPr>
          <w:rFonts w:asciiTheme="minorEastAsia" w:hAnsiTheme="minorEastAsia" w:eastAsiaTheme="minorEastAsia"/>
          <w:b/>
          <w:bCs/>
          <w:sz w:val="32"/>
          <w:szCs w:val="32"/>
        </w:rPr>
        <w:t>有限公司</w:t>
      </w:r>
      <w:r>
        <w:rPr>
          <w:rFonts w:hint="eastAsia" w:asciiTheme="minorEastAsia" w:hAnsiTheme="minorEastAsia" w:eastAsiaTheme="minorEastAsia"/>
          <w:b/>
          <w:bCs/>
          <w:sz w:val="32"/>
          <w:szCs w:val="32"/>
        </w:rPr>
        <w:t>　　</w:t>
      </w:r>
    </w:p>
    <w:p>
      <w:pPr>
        <w:spacing w:line="320" w:lineRule="atLeast"/>
        <w:jc w:val="center"/>
        <w:rPr>
          <w:rFonts w:asciiTheme="minorEastAsia" w:hAnsiTheme="minorEastAsia" w:eastAsiaTheme="minorEastAsia"/>
          <w:b/>
          <w:bCs/>
          <w:sz w:val="32"/>
          <w:szCs w:val="32"/>
        </w:rPr>
      </w:pPr>
    </w:p>
    <w:p>
      <w:pPr>
        <w:spacing w:line="54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二○二</w:t>
      </w:r>
      <w:r>
        <w:rPr>
          <w:rFonts w:hint="eastAsia" w:asciiTheme="minorEastAsia" w:hAnsiTheme="minorEastAsia" w:eastAsiaTheme="minorEastAsia"/>
          <w:b/>
          <w:bCs/>
          <w:sz w:val="32"/>
          <w:szCs w:val="32"/>
          <w:lang w:eastAsia="zh-CN"/>
        </w:rPr>
        <w:t>三年六</w:t>
      </w:r>
      <w:r>
        <w:rPr>
          <w:rFonts w:hint="eastAsia" w:asciiTheme="minorEastAsia" w:hAnsiTheme="minorEastAsia" w:eastAsiaTheme="minorEastAsia"/>
          <w:b/>
          <w:bCs/>
          <w:sz w:val="32"/>
          <w:szCs w:val="32"/>
        </w:rPr>
        <w:t>月</w:t>
      </w:r>
    </w:p>
    <w:p>
      <w:pPr>
        <w:spacing w:line="540" w:lineRule="exact"/>
        <w:ind w:firstLine="437"/>
        <w:jc w:val="center"/>
        <w:rPr>
          <w:rFonts w:asciiTheme="minorEastAsia" w:hAnsiTheme="minorEastAsia" w:eastAsiaTheme="minorEastAsia"/>
          <w:b/>
          <w:bCs/>
          <w:sz w:val="28"/>
          <w:szCs w:val="28"/>
        </w:rPr>
      </w:pPr>
    </w:p>
    <w:p>
      <w:pPr>
        <w:spacing w:line="540" w:lineRule="exact"/>
        <w:ind w:firstLine="437"/>
        <w:jc w:val="center"/>
        <w:rPr>
          <w:rFonts w:asciiTheme="minorEastAsia" w:hAnsiTheme="minorEastAsia" w:eastAsiaTheme="minorEastAsia"/>
          <w:b/>
          <w:bCs/>
          <w:sz w:val="28"/>
          <w:szCs w:val="28"/>
        </w:rPr>
      </w:pPr>
    </w:p>
    <w:p>
      <w:pPr>
        <w:spacing w:line="540" w:lineRule="exact"/>
        <w:ind w:firstLine="437"/>
        <w:rPr>
          <w:rFonts w:asciiTheme="minorEastAsia" w:hAnsiTheme="minorEastAsia" w:eastAsiaTheme="minorEastAsia"/>
          <w:b/>
          <w:bCs/>
          <w:sz w:val="28"/>
          <w:szCs w:val="28"/>
        </w:rPr>
      </w:pPr>
    </w:p>
    <w:sdt>
      <w:sdtPr>
        <w:rPr>
          <w:rFonts w:asciiTheme="minorEastAsia" w:hAnsiTheme="minorEastAsia" w:eastAsiaTheme="minorEastAsia"/>
          <w:b w:val="0"/>
          <w:bCs w:val="0"/>
          <w:kern w:val="2"/>
          <w:sz w:val="21"/>
          <w:szCs w:val="24"/>
          <w:lang w:val="zh-CN"/>
        </w:rPr>
        <w:id w:val="109733633"/>
        <w:docPartObj>
          <w:docPartGallery w:val="Table of Contents"/>
          <w:docPartUnique/>
        </w:docPartObj>
      </w:sdtPr>
      <w:sdtEndPr>
        <w:rPr>
          <w:rFonts w:asciiTheme="minorEastAsia" w:hAnsiTheme="minorEastAsia" w:eastAsiaTheme="minorEastAsia"/>
          <w:b w:val="0"/>
          <w:bCs w:val="0"/>
          <w:kern w:val="2"/>
          <w:sz w:val="21"/>
          <w:szCs w:val="24"/>
          <w:lang w:val="en-US"/>
        </w:rPr>
      </w:sdtEndPr>
      <w:sdtContent>
        <w:p>
          <w:pPr>
            <w:pStyle w:val="102"/>
            <w:jc w:val="center"/>
            <w:rPr>
              <w:rFonts w:asciiTheme="minorEastAsia" w:hAnsiTheme="minorEastAsia" w:eastAsiaTheme="minorEastAsia"/>
              <w:b w:val="0"/>
              <w:sz w:val="30"/>
              <w:szCs w:val="30"/>
            </w:rPr>
          </w:pPr>
          <w:r>
            <w:rPr>
              <w:rFonts w:asciiTheme="minorEastAsia" w:hAnsiTheme="minorEastAsia" w:eastAsiaTheme="minorEastAsia"/>
              <w:b w:val="0"/>
              <w:sz w:val="30"/>
              <w:szCs w:val="30"/>
              <w:lang w:val="zh-CN"/>
            </w:rPr>
            <w:t>目录</w:t>
          </w:r>
        </w:p>
        <w:p>
          <w:pPr>
            <w:pStyle w:val="26"/>
            <w:tabs>
              <w:tab w:val="left" w:pos="1260"/>
              <w:tab w:val="right" w:leader="dot" w:pos="9650"/>
            </w:tabs>
            <w:rPr>
              <w:rFonts w:asciiTheme="minorHAnsi" w:hAnsiTheme="minorHAnsi" w:eastAsiaTheme="minorEastAsia" w:cstheme="minorBidi"/>
              <w:szCs w:val="22"/>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r>
            <w:fldChar w:fldCharType="begin"/>
          </w:r>
          <w:r>
            <w:instrText xml:space="preserve"> HYPERLINK \l "_Toc75279325" </w:instrText>
          </w:r>
          <w:r>
            <w:fldChar w:fldCharType="separate"/>
          </w:r>
          <w:r>
            <w:rPr>
              <w:rStyle w:val="42"/>
              <w:rFonts w:hint="eastAsia" w:asciiTheme="minorEastAsia" w:hAnsiTheme="minorEastAsia"/>
            </w:rPr>
            <w:t>第一章</w:t>
          </w:r>
          <w:r>
            <w:rPr>
              <w:rFonts w:asciiTheme="minorHAnsi" w:hAnsiTheme="minorHAnsi" w:eastAsiaTheme="minorEastAsia" w:cstheme="minorBidi"/>
              <w:szCs w:val="22"/>
            </w:rPr>
            <w:tab/>
          </w:r>
          <w:r>
            <w:rPr>
              <w:rStyle w:val="42"/>
              <w:rFonts w:hint="eastAsia" w:asciiTheme="minorEastAsia" w:hAnsiTheme="minorEastAsia"/>
            </w:rPr>
            <w:t>招标公告</w:t>
          </w:r>
          <w:r>
            <w:tab/>
          </w:r>
          <w:r>
            <w:fldChar w:fldCharType="begin"/>
          </w:r>
          <w:r>
            <w:instrText xml:space="preserve"> PAGEREF _Toc75279325 \h </w:instrText>
          </w:r>
          <w:r>
            <w:fldChar w:fldCharType="separate"/>
          </w:r>
          <w:r>
            <w:t>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"_Toc75279326" </w:instrText>
          </w:r>
          <w:r>
            <w:fldChar w:fldCharType="separate"/>
          </w:r>
          <w:r>
            <w:rPr>
              <w:rStyle w:val="42"/>
              <w:rFonts w:hint="eastAsia" w:asciiTheme="minorEastAsia" w:hAnsiTheme="minorEastAsia"/>
            </w:rPr>
            <w:t>第二章投标人须知</w:t>
          </w:r>
          <w:r>
            <w:tab/>
          </w:r>
          <w:r>
            <w:fldChar w:fldCharType="begin"/>
          </w:r>
          <w:r>
            <w:instrText xml:space="preserve"> PAGEREF _Toc75279326 \h </w:instrText>
          </w:r>
          <w:r>
            <w:fldChar w:fldCharType="separate"/>
          </w:r>
          <w:r>
            <w:t>5</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"_Toc75279327" </w:instrText>
          </w:r>
          <w:r>
            <w:fldChar w:fldCharType="separate"/>
          </w:r>
          <w:r>
            <w:rPr>
              <w:rStyle w:val="42"/>
              <w:rFonts w:hint="eastAsia" w:asciiTheme="minorEastAsia" w:hAnsiTheme="minorEastAsia"/>
            </w:rPr>
            <w:t>第四章 技术规格书</w:t>
          </w:r>
          <w:r>
            <w:tab/>
          </w:r>
          <w:r>
            <w:fldChar w:fldCharType="begin"/>
          </w:r>
          <w:r>
            <w:instrText xml:space="preserve"> PAGEREF _Toc75279327 \h </w:instrText>
          </w:r>
          <w:r>
            <w:fldChar w:fldCharType="separate"/>
          </w:r>
          <w:r>
            <w:t>12</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"_Toc75279328" </w:instrText>
          </w:r>
          <w:r>
            <w:fldChar w:fldCharType="separate"/>
          </w:r>
          <w:r>
            <w:rPr>
              <w:rStyle w:val="42"/>
              <w:rFonts w:hint="eastAsia" w:asciiTheme="minorEastAsia" w:hAnsiTheme="minorEastAsia"/>
            </w:rPr>
            <w:t>第五章合同条款及格式</w:t>
          </w:r>
          <w:r>
            <w:tab/>
          </w:r>
          <w:r>
            <w:fldChar w:fldCharType="begin"/>
          </w:r>
          <w:r>
            <w:instrText xml:space="preserve"> PAGEREF _Toc75279328 \h </w:instrText>
          </w:r>
          <w:r>
            <w:fldChar w:fldCharType="separate"/>
          </w:r>
          <w:r>
            <w:t>13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"_Toc75279329" </w:instrText>
          </w:r>
          <w:r>
            <w:fldChar w:fldCharType="separate"/>
          </w:r>
          <w:r>
            <w:rPr>
              <w:rStyle w:val="42"/>
              <w:rFonts w:hint="eastAsia" w:asciiTheme="minorEastAsia" w:hAnsiTheme="minorEastAsia"/>
              <w:kern w:val="0"/>
            </w:rPr>
            <w:t>投标文件</w:t>
          </w:r>
          <w:r>
            <w:tab/>
          </w:r>
          <w:r>
            <w:fldChar w:fldCharType="begin"/>
          </w:r>
          <w:r>
            <w:instrText xml:space="preserve"> PAGEREF _Toc75279329 \h </w:instrText>
          </w:r>
          <w:r>
            <w:fldChar w:fldCharType="separate"/>
          </w:r>
          <w:r>
            <w:t>16</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"_Toc75279330" </w:instrText>
          </w:r>
          <w:r>
            <w:fldChar w:fldCharType="separate"/>
          </w:r>
          <w:r>
            <w:rPr>
              <w:rStyle w:val="42"/>
              <w:rFonts w:hint="eastAsia" w:asciiTheme="minorEastAsia" w:hAnsiTheme="minorEastAsia"/>
            </w:rPr>
            <w:t>一、投标函</w:t>
          </w:r>
          <w:r>
            <w:tab/>
          </w:r>
          <w:r>
            <w:fldChar w:fldCharType="begin"/>
          </w:r>
          <w:r>
            <w:instrText xml:space="preserve"> PAGEREF _Toc75279330 \h </w:instrText>
          </w:r>
          <w:r>
            <w:fldChar w:fldCharType="separate"/>
          </w:r>
          <w:r>
            <w:t>18</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"_Toc75279331" </w:instrText>
          </w:r>
          <w:r>
            <w:fldChar w:fldCharType="separate"/>
          </w:r>
          <w:r>
            <w:rPr>
              <w:rStyle w:val="42"/>
              <w:rFonts w:hint="eastAsia" w:asciiTheme="minorEastAsia" w:hAnsiTheme="minorEastAsia"/>
            </w:rPr>
            <w:t>二、营业执照（扫描件）三、法定代表人证明书</w:t>
          </w:r>
          <w:r>
            <w:tab/>
          </w:r>
          <w:r>
            <w:fldChar w:fldCharType="begin"/>
          </w:r>
          <w:r>
            <w:instrText xml:space="preserve"> PAGEREF _Toc75279331 \h </w:instrText>
          </w:r>
          <w:r>
            <w:fldChar w:fldCharType="separate"/>
          </w:r>
          <w:r>
            <w:t>19</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"_Toc75279332" </w:instrText>
          </w:r>
          <w:r>
            <w:fldChar w:fldCharType="separate"/>
          </w:r>
          <w:r>
            <w:rPr>
              <w:rStyle w:val="42"/>
              <w:rFonts w:hint="eastAsia" w:asciiTheme="minorEastAsia" w:hAnsiTheme="minorEastAsia"/>
            </w:rPr>
            <w:t>三、法定代表人证明书</w:t>
          </w:r>
          <w:r>
            <w:tab/>
          </w:r>
          <w:r>
            <w:fldChar w:fldCharType="begin"/>
          </w:r>
          <w:r>
            <w:instrText xml:space="preserve"> PAGEREF _Toc75279332 \h </w:instrText>
          </w:r>
          <w:r>
            <w:fldChar w:fldCharType="separate"/>
          </w:r>
          <w:r>
            <w:t>20</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"_Toc75279333" </w:instrText>
          </w:r>
          <w:r>
            <w:fldChar w:fldCharType="separate"/>
          </w:r>
          <w:r>
            <w:rPr>
              <w:rStyle w:val="42"/>
              <w:rFonts w:hint="eastAsia" w:asciiTheme="minorEastAsia" w:hAnsiTheme="minorEastAsia"/>
            </w:rPr>
            <w:t>四、授权委托书</w:t>
          </w:r>
          <w:r>
            <w:tab/>
          </w:r>
          <w:r>
            <w:fldChar w:fldCharType="begin"/>
          </w:r>
          <w:r>
            <w:instrText xml:space="preserve"> PAGEREF _Toc75279333 \h </w:instrText>
          </w:r>
          <w:r>
            <w:fldChar w:fldCharType="separate"/>
          </w:r>
          <w:r>
            <w:t>21</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"_Toc75279334" </w:instrText>
          </w:r>
          <w:r>
            <w:fldChar w:fldCharType="separate"/>
          </w:r>
          <w:r>
            <w:rPr>
              <w:rStyle w:val="42"/>
              <w:rFonts w:hint="eastAsia" w:asciiTheme="minorEastAsia" w:hAnsiTheme="minorEastAsia"/>
            </w:rPr>
            <w:t>五、投标保证金承诺函</w:t>
          </w:r>
          <w:r>
            <w:tab/>
          </w:r>
          <w:r>
            <w:fldChar w:fldCharType="begin"/>
          </w:r>
          <w:r>
            <w:instrText xml:space="preserve"> PAGEREF _Toc75279334 \h </w:instrText>
          </w:r>
          <w:r>
            <w:fldChar w:fldCharType="separate"/>
          </w:r>
          <w:r>
            <w:t>22</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"_Toc75279335" </w:instrText>
          </w:r>
          <w:r>
            <w:fldChar w:fldCharType="separate"/>
          </w:r>
          <w:r>
            <w:rPr>
              <w:rStyle w:val="42"/>
              <w:rFonts w:hint="eastAsia" w:asciiTheme="minorEastAsia" w:hAnsiTheme="minorEastAsia"/>
            </w:rPr>
            <w:t>六、投标单位开票信息表</w:t>
          </w:r>
          <w:r>
            <w:tab/>
          </w:r>
          <w:r>
            <w:fldChar w:fldCharType="begin"/>
          </w:r>
          <w:r>
            <w:instrText xml:space="preserve"> PAGEREF _Toc75279335 \h </w:instrText>
          </w:r>
          <w:r>
            <w:fldChar w:fldCharType="separate"/>
          </w:r>
          <w:r>
            <w:t>23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"_Toc75279336" </w:instrText>
          </w:r>
          <w:r>
            <w:fldChar w:fldCharType="separate"/>
          </w:r>
          <w:r>
            <w:rPr>
              <w:rStyle w:val="42"/>
              <w:rFonts w:hint="eastAsia" w:asciiTheme="minorEastAsia" w:hAnsiTheme="minorEastAsia"/>
              <w:kern w:val="0"/>
            </w:rPr>
            <w:t>第二部分：商务标部分</w:t>
          </w:r>
          <w:r>
            <w:tab/>
          </w:r>
          <w:r>
            <w:fldChar w:fldCharType="begin"/>
          </w:r>
          <w:r>
            <w:instrText xml:space="preserve"> PAGEREF _Toc75279336 \h </w:instrText>
          </w:r>
          <w:r>
            <w:fldChar w:fldCharType="separate"/>
          </w:r>
          <w:r>
            <w:t>24</w:t>
          </w:r>
          <w:r>
            <w:fldChar w:fldCharType="end"/>
          </w:r>
          <w:r>
            <w:fldChar w:fldCharType="end"/>
          </w:r>
        </w:p>
        <w:p>
          <w:pPr>
            <w:pStyle w:val="30"/>
            <w:tabs>
              <w:tab w:val="left" w:pos="2520"/>
              <w:tab w:val="right" w:leader="dot" w:pos="9650"/>
            </w:tabs>
            <w:rPr>
              <w:rFonts w:asciiTheme="minorHAnsi" w:hAnsiTheme="minorHAnsi" w:eastAsiaTheme="minorEastAsia" w:cstheme="minorBidi"/>
              <w:szCs w:val="22"/>
            </w:rPr>
          </w:pPr>
          <w:r>
            <w:fldChar w:fldCharType="begin"/>
          </w:r>
          <w:r>
            <w:instrText xml:space="preserve"> HYPERLINK \l "_Toc75279337" </w:instrText>
          </w:r>
          <w:r>
            <w:fldChar w:fldCharType="separate"/>
          </w:r>
          <w:r>
            <w:rPr>
              <w:rStyle w:val="42"/>
              <w:rFonts w:hint="eastAsia" w:asciiTheme="minorEastAsia" w:hAnsiTheme="minorEastAsia"/>
            </w:rPr>
            <w:t>一、开标一览表</w:t>
          </w:r>
          <w:r>
            <w:rPr>
              <w:rFonts w:asciiTheme="minorHAnsi" w:hAnsiTheme="minorHAnsi" w:eastAsiaTheme="minorEastAsia" w:cstheme="minorBidi"/>
              <w:szCs w:val="22"/>
            </w:rPr>
            <w:tab/>
          </w:r>
          <w:r>
            <w:rPr>
              <w:rStyle w:val="42"/>
              <w:rFonts w:hint="eastAsia" w:cs="宋体" w:asciiTheme="minorEastAsia" w:hAnsiTheme="minorEastAsia"/>
            </w:rPr>
            <w:t>详见</w:t>
          </w:r>
          <w:r>
            <w:rPr>
              <w:rStyle w:val="42"/>
              <w:rFonts w:cs="宋体" w:asciiTheme="minorEastAsia" w:hAnsiTheme="minorEastAsia"/>
            </w:rPr>
            <w:t>EXCEL</w:t>
          </w:r>
          <w:r>
            <w:rPr>
              <w:rStyle w:val="42"/>
              <w:rFonts w:hint="eastAsia" w:cs="宋体" w:asciiTheme="minorEastAsia" w:hAnsiTheme="minorEastAsia"/>
            </w:rPr>
            <w:t>版《开标一览表》。</w:t>
          </w:r>
          <w:r>
            <w:tab/>
          </w:r>
          <w:r>
            <w:fldChar w:fldCharType="begin"/>
          </w:r>
          <w:r>
            <w:instrText xml:space="preserve"> PAGEREF _Toc75279337 \h </w:instrText>
          </w:r>
          <w:r>
            <w:fldChar w:fldCharType="separate"/>
          </w:r>
          <w:r>
            <w:t>24</w:t>
          </w:r>
          <w:r>
            <w:fldChar w:fldCharType="end"/>
          </w:r>
          <w:r>
            <w:fldChar w:fldCharType="end"/>
          </w:r>
        </w:p>
        <w:p>
          <w:pPr>
            <w:pStyle w:val="30"/>
            <w:tabs>
              <w:tab w:val="left" w:pos="2940"/>
              <w:tab w:val="right" w:leader="dot" w:pos="9650"/>
            </w:tabs>
            <w:rPr>
              <w:rFonts w:asciiTheme="minorHAnsi" w:hAnsiTheme="minorHAnsi" w:eastAsiaTheme="minorEastAsia" w:cstheme="minorBidi"/>
              <w:szCs w:val="22"/>
            </w:rPr>
          </w:pPr>
          <w:r>
            <w:fldChar w:fldCharType="begin"/>
          </w:r>
          <w:r>
            <w:instrText xml:space="preserve"> HYPERLINK \l "_Toc75279338" </w:instrText>
          </w:r>
          <w:r>
            <w:fldChar w:fldCharType="separate"/>
          </w:r>
          <w:r>
            <w:rPr>
              <w:rStyle w:val="42"/>
              <w:rFonts w:hint="eastAsia" w:asciiTheme="minorEastAsia" w:hAnsiTheme="minorEastAsia"/>
            </w:rPr>
            <w:t>二、商务</w:t>
          </w:r>
          <w:r>
            <w:rPr>
              <w:rStyle w:val="42"/>
              <w:rFonts w:asciiTheme="minorEastAsia" w:hAnsiTheme="minorEastAsia"/>
            </w:rPr>
            <w:t>/</w:t>
          </w:r>
          <w:r>
            <w:rPr>
              <w:rStyle w:val="42"/>
              <w:rFonts w:hint="eastAsia" w:asciiTheme="minorEastAsia" w:hAnsiTheme="minorEastAsia"/>
            </w:rPr>
            <w:t>技术偏离表</w:t>
          </w:r>
          <w:r>
            <w:rPr>
              <w:rFonts w:asciiTheme="minorHAnsi" w:hAnsiTheme="minorHAnsi" w:eastAsiaTheme="minorEastAsia" w:cstheme="minorBidi"/>
              <w:szCs w:val="22"/>
            </w:rPr>
            <w:tab/>
          </w:r>
          <w:r>
            <w:rPr>
              <w:rStyle w:val="42"/>
              <w:rFonts w:hint="eastAsia" w:cs="宋体" w:asciiTheme="minorEastAsia" w:hAnsiTheme="minorEastAsia"/>
            </w:rPr>
            <w:t>详见</w:t>
          </w:r>
          <w:r>
            <w:rPr>
              <w:rStyle w:val="42"/>
              <w:rFonts w:cs="宋体" w:asciiTheme="minorEastAsia" w:hAnsiTheme="minorEastAsia"/>
            </w:rPr>
            <w:t>EXCEL</w:t>
          </w:r>
          <w:r>
            <w:rPr>
              <w:rStyle w:val="42"/>
              <w:rFonts w:hint="eastAsia" w:cs="宋体" w:asciiTheme="minorEastAsia" w:hAnsiTheme="minorEastAsia"/>
            </w:rPr>
            <w:t>版《</w:t>
          </w:r>
          <w:r>
            <w:rPr>
              <w:rStyle w:val="42"/>
              <w:rFonts w:hint="eastAsia" w:asciiTheme="minorEastAsia" w:hAnsiTheme="minorEastAsia"/>
            </w:rPr>
            <w:t>商务</w:t>
          </w:r>
          <w:r>
            <w:rPr>
              <w:rStyle w:val="42"/>
              <w:rFonts w:asciiTheme="minorEastAsia" w:hAnsiTheme="minorEastAsia"/>
            </w:rPr>
            <w:t>/</w:t>
          </w:r>
          <w:r>
            <w:rPr>
              <w:rStyle w:val="42"/>
              <w:rFonts w:hint="eastAsia" w:asciiTheme="minorEastAsia" w:hAnsiTheme="minorEastAsia"/>
            </w:rPr>
            <w:t>技术偏离表</w:t>
          </w:r>
          <w:r>
            <w:rPr>
              <w:rStyle w:val="42"/>
              <w:rFonts w:hint="eastAsia" w:cs="宋体" w:asciiTheme="minorEastAsia" w:hAnsiTheme="minorEastAsia"/>
            </w:rPr>
            <w:t>》。</w:t>
          </w:r>
          <w:r>
            <w:tab/>
          </w:r>
          <w:r>
            <w:fldChar w:fldCharType="begin"/>
          </w:r>
          <w:r>
            <w:instrText xml:space="preserve"> PAGEREF _Toc75279338 \h </w:instrText>
          </w:r>
          <w:r>
            <w:fldChar w:fldCharType="separate"/>
          </w:r>
          <w:r>
            <w:t>24</w:t>
          </w:r>
          <w:r>
            <w:fldChar w:fldCharType="end"/>
          </w:r>
          <w:r>
            <w:fldChar w:fldCharType="end"/>
          </w:r>
        </w:p>
        <w:p>
          <w:pPr>
            <w:rPr>
              <w:rFonts w:asciiTheme="minorEastAsia" w:hAnsiTheme="minorEastAsia" w:eastAsiaTheme="minorEastAsia"/>
            </w:rPr>
          </w:pPr>
          <w:r>
            <w:rPr>
              <w:rFonts w:asciiTheme="minorEastAsia" w:hAnsiTheme="minorEastAsia" w:eastAsiaTheme="minorEastAsia"/>
              <w:sz w:val="30"/>
              <w:szCs w:val="30"/>
            </w:rPr>
            <w:fldChar w:fldCharType="end"/>
          </w:r>
        </w:p>
      </w:sdtContent>
    </w:sdt>
    <w:p>
      <w:pPr>
        <w:spacing w:line="540" w:lineRule="exact"/>
        <w:rPr>
          <w:rFonts w:asciiTheme="minorEastAsia" w:hAnsiTheme="minorEastAsia" w:eastAsiaTheme="minorEastAsia"/>
          <w:sz w:val="28"/>
          <w:szCs w:val="28"/>
        </w:rPr>
      </w:pP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bookmarkEnd w:id="6"/>
    <w:bookmarkEnd w:id="7"/>
    <w:p>
      <w:pPr>
        <w:pStyle w:val="35"/>
        <w:numPr>
          <w:ilvl w:val="0"/>
          <w:numId w:val="1"/>
        </w:numPr>
        <w:rPr>
          <w:rFonts w:ascii="仿宋" w:hAnsi="仿宋" w:eastAsia="仿宋"/>
          <w:szCs w:val="32"/>
        </w:rPr>
      </w:pPr>
      <w:r>
        <w:rPr>
          <w:rFonts w:hint="eastAsia" w:ascii="仿宋" w:hAnsi="仿宋" w:eastAsia="仿宋"/>
          <w:szCs w:val="32"/>
        </w:rPr>
        <w:t xml:space="preserve">  招标公告</w:t>
      </w:r>
      <w:bookmarkEnd w:id="0"/>
      <w:bookmarkEnd w:id="1"/>
      <w:bookmarkEnd w:id="2"/>
      <w:bookmarkEnd w:id="3"/>
    </w:p>
    <w:p>
      <w:pPr>
        <w:pStyle w:val="73"/>
        <w:numPr>
          <w:ilvl w:val="0"/>
          <w:numId w:val="2"/>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3"/>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HGJY-G2023084</w:t>
      </w:r>
    </w:p>
    <w:p>
      <w:pPr>
        <w:pStyle w:val="73"/>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月炼钢用高碱度覆盖剂采购项目</w:t>
      </w:r>
    </w:p>
    <w:p>
      <w:pPr>
        <w:pStyle w:val="73"/>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3"/>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3"/>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货物名称：中间包覆盖剂:高碱度覆盖剂</w:t>
      </w:r>
    </w:p>
    <w:p>
      <w:pPr>
        <w:pStyle w:val="73"/>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18</w:t>
      </w:r>
      <w:r>
        <w:rPr>
          <w:rFonts w:hint="eastAsia" w:ascii="仿宋" w:hAnsi="仿宋" w:eastAsia="仿宋"/>
          <w:sz w:val="28"/>
          <w:szCs w:val="28"/>
        </w:rPr>
        <w:t>0吨，具体数量以分厂计划为准,均衡到货。</w:t>
      </w:r>
    </w:p>
    <w:p>
      <w:pPr>
        <w:pStyle w:val="73"/>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 xml:space="preserve">月  </w:t>
      </w:r>
    </w:p>
    <w:p>
      <w:pPr>
        <w:pStyle w:val="73"/>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0"/>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b/>
          <w:bCs/>
          <w:sz w:val="28"/>
          <w:szCs w:val="28"/>
        </w:rPr>
        <w:t>2     投标要求</w:t>
      </w:r>
    </w:p>
    <w:p>
      <w:pPr>
        <w:pStyle w:val="100"/>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2.1基本要求</w:t>
      </w:r>
    </w:p>
    <w:p>
      <w:pPr>
        <w:pStyle w:val="100"/>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2.1.1.投标人在法律上和财务上独立并能合法运作，具有法人地位和独立订立合同的能力。投标人具有良好的银行资信和商业信誉，没有处于被责令停业或破产状态，且资产未被重组、接管和冻结；                                                                                                          </w:t>
      </w:r>
    </w:p>
    <w:p>
      <w:pPr>
        <w:pStyle w:val="100"/>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2.1.2.投标单位营业执照经营范围含参标标的物范围，不符的不得参加投标，注册资本必须不少于200万元,公司注册时间一年以上。                                    2.2特殊要求（符合下述条件之一的资质要求）                                                                                              2.2.1.需方合格供方，且具备中间包覆盖剂:高碱度覆盖剂供货资质（已被需方列入黑名单或暂停供货资质的供方不可参标）。                                                                                                                                                                                                                                                                  2.2.2.为华菱湘钢、涟钢中间包覆盖剂:高碱度覆盖剂合格供方（提供1份或以上近两年的合同原件或仅限价格、金额覆盖的原件扫描件）。                                                                                                   2.2.3.为中间包覆盖剂:高碱度覆盖剂生产加工企业，具有该产品在钢铁企业供货业绩（提供1份或以上近两年的合同原件或仅限价格、金额覆盖的原件扫描件）。                                                                                                                             3     </w:t>
      </w:r>
      <w:r>
        <w:rPr>
          <w:rFonts w:hint="eastAsia" w:ascii="仿宋" w:hAnsi="仿宋" w:eastAsia="仿宋"/>
          <w:b/>
          <w:bCs/>
          <w:sz w:val="28"/>
          <w:szCs w:val="28"/>
        </w:rPr>
        <w:t>招标文件获取</w:t>
      </w:r>
    </w:p>
    <w:p>
      <w:pPr>
        <w:pStyle w:val="73"/>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3"/>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3"/>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3"/>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3"/>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6</w:t>
      </w:r>
      <w:r>
        <w:rPr>
          <w:rFonts w:hint="eastAsia" w:ascii="仿宋" w:hAnsi="仿宋" w:eastAsia="仿宋"/>
          <w:sz w:val="28"/>
          <w:szCs w:val="28"/>
        </w:rPr>
        <w:t>000元人民币。</w:t>
      </w:r>
    </w:p>
    <w:p>
      <w:pPr>
        <w:pStyle w:val="73"/>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3"/>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3"/>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3"/>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3"/>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16</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9:00</w:t>
      </w:r>
    </w:p>
    <w:p>
      <w:pPr>
        <w:pStyle w:val="73"/>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3"/>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3"/>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3"/>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3"/>
        <w:adjustRightInd w:val="0"/>
        <w:snapToGrid w:val="0"/>
        <w:spacing w:line="360" w:lineRule="exact"/>
        <w:ind w:left="851" w:firstLine="0" w:firstLineChars="0"/>
        <w:contextualSpacing/>
        <w:rPr>
          <w:rFonts w:ascii="仿宋" w:hAnsi="仿宋" w:eastAsia="仿宋"/>
          <w:sz w:val="28"/>
          <w:szCs w:val="28"/>
        </w:rPr>
      </w:pPr>
    </w:p>
    <w:p>
      <w:pPr>
        <w:pStyle w:val="73"/>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3"/>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3"/>
        <w:numPr>
          <w:ilvl w:val="0"/>
          <w:numId w:val="3"/>
        </w:numPr>
        <w:tabs>
          <w:tab w:val="left" w:pos="851"/>
        </w:tabs>
        <w:adjustRightInd w:val="0"/>
        <w:snapToGrid w:val="0"/>
        <w:spacing w:line="360" w:lineRule="exact"/>
        <w:ind w:firstLineChars="0"/>
        <w:contextualSpacing/>
        <w:rPr>
          <w:rFonts w:ascii="仿宋" w:hAnsi="仿宋" w:eastAsia="仿宋" w:cs="宋体"/>
          <w:kern w:val="0"/>
          <w:sz w:val="28"/>
          <w:szCs w:val="28"/>
        </w:rPr>
      </w:pPr>
      <w:r>
        <w:rPr>
          <w:rFonts w:hint="eastAsia" w:ascii="仿宋" w:hAnsi="仿宋" w:eastAsia="仿宋"/>
          <w:b/>
          <w:bCs/>
          <w:sz w:val="28"/>
          <w:szCs w:val="28"/>
        </w:rPr>
        <w:t>监督</w:t>
      </w:r>
    </w:p>
    <w:p>
      <w:pPr>
        <w:pStyle w:val="73"/>
        <w:tabs>
          <w:tab w:val="left" w:pos="851"/>
        </w:tabs>
        <w:adjustRightInd w:val="0"/>
        <w:snapToGrid w:val="0"/>
        <w:spacing w:line="360" w:lineRule="exact"/>
        <w:ind w:firstLine="840" w:firstLineChars="300"/>
        <w:contextualSpacing/>
        <w:rPr>
          <w:rFonts w:ascii="仿宋" w:hAnsi="仿宋" w:eastAsia="仿宋" w:cs="宋体"/>
          <w:kern w:val="0"/>
          <w:sz w:val="28"/>
          <w:szCs w:val="28"/>
        </w:rPr>
      </w:pPr>
      <w:r>
        <w:rPr>
          <w:rFonts w:hint="eastAsia" w:ascii="仿宋" w:hAnsi="仿宋" w:eastAsia="仿宋"/>
          <w:sz w:val="28"/>
          <w:szCs w:val="28"/>
        </w:rPr>
        <w:t>投标监督部门为衡阳华菱钢管有限公司纪委，电话：</w:t>
      </w:r>
      <w:r>
        <w:rPr>
          <w:rFonts w:hint="eastAsia" w:ascii="仿宋" w:hAnsi="仿宋" w:eastAsia="仿宋" w:cs="宋体"/>
          <w:kern w:val="0"/>
          <w:sz w:val="28"/>
          <w:szCs w:val="28"/>
        </w:rPr>
        <w:t>0734-8872189</w:t>
      </w:r>
    </w:p>
    <w:p>
      <w:pPr>
        <w:pStyle w:val="73"/>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3"/>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3"/>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3"/>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
      <w:pPr>
        <w:widowControl/>
        <w:jc w:val="left"/>
        <w:rPr>
          <w:rFonts w:asciiTheme="minorEastAsia" w:hAnsiTheme="minorEastAsia" w:eastAsiaTheme="minorEastAsia"/>
          <w:b/>
          <w:sz w:val="28"/>
          <w:szCs w:val="28"/>
        </w:rPr>
      </w:pPr>
      <w:r>
        <w:rPr>
          <w:rFonts w:asciiTheme="minorEastAsia" w:hAnsiTheme="minorEastAsia" w:eastAsiaTheme="minorEastAsia"/>
          <w:sz w:val="28"/>
          <w:szCs w:val="28"/>
        </w:rPr>
        <w:br w:type="page"/>
      </w:r>
    </w:p>
    <w:p>
      <w:pPr>
        <w:pStyle w:val="35"/>
        <w:rPr>
          <w:rFonts w:asciiTheme="minorEastAsia" w:hAnsiTheme="minorEastAsia" w:eastAsiaTheme="minorEastAsia"/>
          <w:sz w:val="28"/>
          <w:szCs w:val="28"/>
        </w:rPr>
      </w:pPr>
      <w:bookmarkStart w:id="8" w:name="_Toc1544812"/>
      <w:r>
        <w:rPr>
          <w:rFonts w:hint="eastAsia" w:asciiTheme="minorEastAsia" w:hAnsiTheme="minorEastAsia" w:eastAsiaTheme="minorEastAsia"/>
          <w:sz w:val="28"/>
          <w:szCs w:val="28"/>
        </w:rPr>
        <w:t>第二章  投标人须知</w:t>
      </w:r>
      <w:bookmarkEnd w:id="4"/>
      <w:bookmarkEnd w:id="8"/>
    </w:p>
    <w:p>
      <w:pPr>
        <w:snapToGrid w:val="0"/>
        <w:jc w:val="center"/>
        <w:rPr>
          <w:rFonts w:asciiTheme="minorEastAsia" w:hAnsiTheme="minorEastAsia" w:eastAsiaTheme="minorEastAsia"/>
          <w:sz w:val="28"/>
          <w:szCs w:val="28"/>
        </w:rPr>
      </w:pPr>
    </w:p>
    <w:bookmarkEnd w:id="5"/>
    <w:tbl>
      <w:tblPr>
        <w:tblStyle w:val="37"/>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293"/>
        <w:gridCol w:w="1575"/>
        <w:gridCol w:w="1369"/>
        <w:gridCol w:w="13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7" w:type="dxa"/>
            <w:vAlign w:val="center"/>
          </w:tcPr>
          <w:p>
            <w:pPr>
              <w:jc w:val="center"/>
              <w:rPr>
                <w:rFonts w:asciiTheme="minorEastAsia" w:hAnsiTheme="minorEastAsia" w:eastAsiaTheme="minorEastAsia"/>
                <w:sz w:val="28"/>
                <w:szCs w:val="28"/>
              </w:rPr>
            </w:pPr>
            <w:bookmarkStart w:id="9" w:name="_Toc300678058"/>
            <w:bookmarkStart w:id="10" w:name="_Toc303864875"/>
            <w:r>
              <w:rPr>
                <w:rFonts w:hint="eastAsia" w:asciiTheme="minorEastAsia" w:hAnsiTheme="minorEastAsia" w:eastAsiaTheme="minorEastAsia"/>
                <w:bCs/>
                <w:sz w:val="28"/>
                <w:szCs w:val="28"/>
              </w:rPr>
              <w:t>序号</w:t>
            </w:r>
          </w:p>
        </w:tc>
        <w:tc>
          <w:tcPr>
            <w:tcW w:w="1418" w:type="dxa"/>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条款名称</w:t>
            </w:r>
          </w:p>
        </w:tc>
        <w:tc>
          <w:tcPr>
            <w:tcW w:w="7547" w:type="dxa"/>
            <w:gridSpan w:val="4"/>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仿宋" w:hAnsi="仿宋" w:eastAsia="仿宋"/>
                <w:sz w:val="28"/>
                <w:szCs w:val="28"/>
              </w:rPr>
              <w:t>中间包覆盖</w:t>
            </w:r>
            <w:r>
              <w:rPr>
                <w:rFonts w:hint="eastAsia" w:asciiTheme="minorEastAsia" w:hAnsiTheme="minorEastAsia" w:eastAsiaTheme="minorEastAsia"/>
                <w:sz w:val="28"/>
                <w:szCs w:val="28"/>
              </w:rPr>
              <w:t>剂:高碱度覆盖剂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约</w:t>
            </w:r>
            <w:r>
              <w:rPr>
                <w:rFonts w:hint="eastAsia" w:asciiTheme="minorEastAsia" w:hAnsiTheme="minorEastAsia" w:eastAsiaTheme="minorEastAsia"/>
                <w:sz w:val="28"/>
                <w:szCs w:val="28"/>
                <w:lang w:val="en-US" w:eastAsia="zh-CN"/>
              </w:rPr>
              <w:t>18</w:t>
            </w:r>
            <w:r>
              <w:rPr>
                <w:rFonts w:hint="eastAsia" w:asciiTheme="minorEastAsia" w:hAnsiTheme="minorEastAsia" w:eastAsiaTheme="minorEastAsia"/>
                <w:sz w:val="28"/>
                <w:szCs w:val="28"/>
              </w:rPr>
              <w:t>0吨，具体数量以</w:t>
            </w:r>
            <w:r>
              <w:rPr>
                <w:rFonts w:hint="eastAsia" w:asciiTheme="minorEastAsia" w:hAnsiTheme="minorEastAsia" w:eastAsiaTheme="minorEastAsia"/>
                <w:sz w:val="28"/>
                <w:szCs w:val="28"/>
                <w:lang w:eastAsia="zh-CN"/>
              </w:rPr>
              <w:t>炼钢</w:t>
            </w:r>
            <w:r>
              <w:rPr>
                <w:rFonts w:hint="eastAsia" w:asciiTheme="minorEastAsia" w:hAnsiTheme="minorEastAsia" w:eastAsiaTheme="minorEastAsia"/>
                <w:sz w:val="28"/>
                <w:szCs w:val="28"/>
              </w:rPr>
              <w:t>厂计划为准，均衡到货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交货时间</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7-12</w:t>
            </w:r>
            <w:r>
              <w:rPr>
                <w:rFonts w:hint="eastAsia" w:asciiTheme="minorEastAsia" w:hAnsiTheme="minorEastAsia" w:eastAsiaTheme="minorEastAsia"/>
                <w:sz w:val="28"/>
                <w:szCs w:val="28"/>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交货地点</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衡阳华菱钢管(连轧管)有限公司厂内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合同类型</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固定单价合同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招标文件澄清</w:t>
            </w:r>
          </w:p>
        </w:tc>
        <w:tc>
          <w:tcPr>
            <w:tcW w:w="7547" w:type="dxa"/>
            <w:gridSpan w:val="4"/>
            <w:vAlign w:val="center"/>
          </w:tcPr>
          <w:p>
            <w:pPr>
              <w:adjustRightInd w:val="0"/>
              <w:snapToGrid w:val="0"/>
              <w:spacing w:line="360" w:lineRule="exact"/>
              <w:rPr>
                <w:rFonts w:asciiTheme="minorEastAsia" w:hAnsiTheme="minorEastAsia" w:eastAsiaTheme="minorEastAsia"/>
                <w:sz w:val="28"/>
                <w:szCs w:val="28"/>
              </w:rPr>
            </w:pPr>
            <w:r>
              <w:rPr>
                <w:rFonts w:asciiTheme="minorEastAsia" w:hAnsiTheme="minorEastAsia" w:eastAsiaTheme="minorEastAsia"/>
                <w:sz w:val="28"/>
                <w:szCs w:val="28"/>
              </w:rPr>
              <w:t>任何要求对招标文件进行澄清的投标人，均应在投标截止日叁天以前按投标邀请书中的地址，以书面形式</w:t>
            </w:r>
            <w:r>
              <w:rPr>
                <w:rFonts w:hint="eastAsia" w:asciiTheme="minorEastAsia" w:hAnsiTheme="minorEastAsia" w:eastAsiaTheme="minorEastAsia"/>
                <w:sz w:val="28"/>
                <w:szCs w:val="28"/>
              </w:rPr>
              <w:t>或</w:t>
            </w:r>
            <w:r>
              <w:rPr>
                <w:rFonts w:asciiTheme="minorEastAsia" w:hAnsiTheme="minorEastAsia" w:eastAsiaTheme="minorEastAsia"/>
                <w:sz w:val="28"/>
                <w:szCs w:val="28"/>
              </w:rPr>
              <w:t>电</w:t>
            </w:r>
            <w:r>
              <w:rPr>
                <w:rFonts w:hint="eastAsia" w:asciiTheme="minorEastAsia" w:hAnsiTheme="minorEastAsia" w:eastAsiaTheme="minorEastAsia"/>
                <w:sz w:val="28"/>
                <w:szCs w:val="28"/>
              </w:rPr>
              <w:t>子邮件(照片、PDF、扫描件)</w:t>
            </w:r>
            <w:r>
              <w:rPr>
                <w:rFonts w:asciiTheme="minorEastAsia" w:hAnsiTheme="minorEastAsia" w:eastAsiaTheme="minorEastAsia"/>
                <w:sz w:val="28"/>
                <w:szCs w:val="28"/>
              </w:rPr>
              <w:t>等</w:t>
            </w:r>
            <w:r>
              <w:rPr>
                <w:rFonts w:hint="eastAsia" w:asciiTheme="minorEastAsia" w:hAnsiTheme="minorEastAsia" w:eastAsiaTheme="minorEastAsia"/>
                <w:sz w:val="28"/>
                <w:szCs w:val="28"/>
              </w:rPr>
              <w:t>形式</w:t>
            </w:r>
            <w:r>
              <w:rPr>
                <w:rFonts w:asciiTheme="minorEastAsia" w:hAnsiTheme="minorEastAsia" w:eastAsiaTheme="minorEastAsia"/>
                <w:sz w:val="28"/>
                <w:szCs w:val="28"/>
              </w:rPr>
              <w:t>通知招标方，招标方对投标截止叁天以前收到的任何澄清要求将以书面形式或其它合适的形式予以答复。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招标文件修改</w:t>
            </w:r>
          </w:p>
        </w:tc>
        <w:tc>
          <w:tcPr>
            <w:tcW w:w="7547" w:type="dxa"/>
            <w:gridSpan w:val="4"/>
            <w:vAlign w:val="center"/>
          </w:tcPr>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在投标截止日期前的任何时候，无论出于何种原因，招标方可以主动或在</w:t>
            </w:r>
            <w:r>
              <w:rPr>
                <w:rFonts w:hint="eastAsia" w:asciiTheme="minorEastAsia" w:hAnsiTheme="minorEastAsia" w:eastAsiaTheme="minorEastAsia"/>
                <w:sz w:val="28"/>
                <w:szCs w:val="28"/>
              </w:rPr>
              <w:t>接受</w:t>
            </w:r>
            <w:r>
              <w:rPr>
                <w:rFonts w:asciiTheme="minorEastAsia" w:hAnsiTheme="minorEastAsia" w:eastAsiaTheme="minorEastAsia"/>
                <w:sz w:val="28"/>
                <w:szCs w:val="28"/>
              </w:rPr>
              <w:t>投标人提出的澄清问题</w:t>
            </w:r>
            <w:r>
              <w:rPr>
                <w:rFonts w:hint="eastAsia" w:asciiTheme="minorEastAsia" w:hAnsiTheme="minorEastAsia" w:eastAsiaTheme="minorEastAsia"/>
                <w:sz w:val="28"/>
                <w:szCs w:val="28"/>
              </w:rPr>
              <w:t>后</w:t>
            </w:r>
            <w:r>
              <w:rPr>
                <w:rFonts w:asciiTheme="minorEastAsia" w:hAnsiTheme="minorEastAsia" w:eastAsiaTheme="minorEastAsia"/>
                <w:sz w:val="28"/>
                <w:szCs w:val="28"/>
              </w:rPr>
              <w:t>对招标文件进行修改。招标文件的修改书将构成招标文件的一部份。</w:t>
            </w:r>
          </w:p>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对招标文件的修改，将以书面、传真</w:t>
            </w:r>
            <w:r>
              <w:rPr>
                <w:rFonts w:hint="eastAsia" w:asciiTheme="minorEastAsia" w:hAnsiTheme="minorEastAsia" w:eastAsiaTheme="minorEastAsia"/>
                <w:sz w:val="28"/>
                <w:szCs w:val="28"/>
              </w:rPr>
              <w:t>、电子邮件</w:t>
            </w:r>
            <w:r>
              <w:rPr>
                <w:rFonts w:asciiTheme="minorEastAsia" w:hAnsiTheme="minorEastAsia" w:eastAsiaTheme="minorEastAsia"/>
                <w:sz w:val="28"/>
                <w:szCs w:val="28"/>
              </w:rPr>
              <w:t>的形式通知已获取招标文件的</w:t>
            </w: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，补充文件作为招标文件的组成部分，对所有投标方有相同的约束力。</w:t>
            </w:r>
          </w:p>
          <w:p>
            <w:pPr>
              <w:tabs>
                <w:tab w:val="left" w:pos="72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为使投标人编写投标文件时有充分时间对招标文件的修改部分进行研究，招标方可以自行决定，酌情延长投标截止日期。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1418" w:type="dxa"/>
            <w:vAlign w:val="center"/>
          </w:tcPr>
          <w:p>
            <w:pPr>
              <w:pStyle w:val="15"/>
              <w:tabs>
                <w:tab w:val="left" w:pos="840"/>
              </w:tabs>
              <w:spacing w:after="20" w:line="300" w:lineRule="exact"/>
              <w:ind w:left="431" w:hanging="431"/>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投标文件递交</w:t>
            </w:r>
          </w:p>
        </w:tc>
        <w:tc>
          <w:tcPr>
            <w:tcW w:w="7547" w:type="dxa"/>
            <w:gridSpan w:val="4"/>
            <w:vAlign w:val="center"/>
          </w:tcPr>
          <w:p>
            <w:pPr>
              <w:spacing w:line="360" w:lineRule="exact"/>
              <w:jc w:val="left"/>
              <w:rPr>
                <w:rFonts w:ascii="仿宋" w:hAnsi="仿宋" w:eastAsia="仿宋" w:cs="仿宋"/>
                <w:sz w:val="28"/>
                <w:szCs w:val="28"/>
              </w:rPr>
            </w:pPr>
            <w:r>
              <w:rPr>
                <w:rFonts w:hint="eastAsia" w:ascii="仿宋" w:hAnsi="仿宋" w:eastAsia="仿宋" w:cs="仿宋"/>
                <w:sz w:val="28"/>
                <w:szCs w:val="28"/>
              </w:rPr>
              <w:t>1、纸质文件：投标人将投标文件在投标截止时间前送达或邮寄至开标地点。迟到的投标文件将被拒绝。</w:t>
            </w:r>
          </w:p>
          <w:p>
            <w:pPr>
              <w:spacing w:line="360" w:lineRule="exact"/>
              <w:jc w:val="left"/>
              <w:rPr>
                <w:rFonts w:asciiTheme="minorEastAsia" w:hAnsiTheme="minorEastAsia" w:eastAsiaTheme="minorEastAsia"/>
                <w:sz w:val="28"/>
                <w:szCs w:val="28"/>
              </w:rPr>
            </w:pPr>
            <w:r>
              <w:rPr>
                <w:rFonts w:hint="eastAsia" w:ascii="仿宋" w:hAnsi="仿宋" w:eastAsia="仿宋" w:cs="仿宋"/>
                <w:sz w:val="28"/>
                <w:szCs w:val="28"/>
              </w:rPr>
              <w:t>2、电子文件：投标人用U盘将电子版投标文件在投标截止时间前递交至开标地点（与纸质投标文件一起）或发送至招标方指定邮箱</w:t>
            </w:r>
            <w:r>
              <w:rPr>
                <w:rFonts w:hint="eastAsia" w:asciiTheme="minorEastAsia" w:hAnsiTheme="minorEastAsia" w:eastAsiaTheme="minorEastAsia"/>
                <w:b/>
                <w:color w:val="FF0000"/>
                <w:sz w:val="28"/>
                <w:szCs w:val="28"/>
              </w:rPr>
              <w:t>（HYST-ZB3@hysteeltube.com</w:t>
            </w:r>
            <w:r>
              <w:rPr>
                <w:rFonts w:asciiTheme="minorEastAsia" w:hAnsiTheme="minorEastAsia" w:eastAsiaTheme="minorEastAsia"/>
                <w:b/>
                <w:color w:val="FF0000"/>
                <w:sz w:val="28"/>
                <w:szCs w:val="28"/>
              </w:rPr>
              <w:t>）。</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3、采用电子邮件方式投标的，迟到的投标文件及发错邮箱的投标文件将被拒绝(视同废标)。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投标文件构成</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投标文件资料如下：</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第一部分投标函部分</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第二部分商务标部分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费用承担</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应承担所有与编写和提交投标文件有关的费用，不论投标的结果如何，招标方在任何情况下均无义务和责任承担这些费用。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保密</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参与招标投标活动的各方应对招标文件和投标文件中的商业和技术等资料保密，违者应对由此造成的后果承担法律责任。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12</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语言文字</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除专用术语外，与招标投标有关的语言均使用中文。必要时专用术语应附有中文注释。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计量单位</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所有计量均采用中华人民共和国法定计量单位。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投标文件的编制</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1、投标文件应按 “投标文件格式”进行编写，如有必要，可以增加附页，作为投标文件的组成部分。投标函在满足招标文件实质性要求的基础上，可以提出比招标文件要求更有利于招标人的承诺。</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2、投标文件应当对招标文件评标办法的规定、合同条款、采购清单、技术规格要求、投标文件格式等内容做出实质性响应。</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或删除。如果出现上述情况，改动之处应加盖单位章或由投标人的法定代表人或授权代理人签字确认。</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4、纸制版与电子版投标文件内容必须一致。（电子版投标文件制作用正本扫描，保存为PDF文件格式。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商务/技术偏离</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允许（ 技术规格书不允许除外）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签字盖章要求</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1、投标文件封面、投标函、开标</w:t>
            </w:r>
            <w:r>
              <w:rPr>
                <w:rFonts w:asciiTheme="minorEastAsia" w:hAnsiTheme="minorEastAsia" w:eastAsiaTheme="minorEastAsia"/>
                <w:sz w:val="28"/>
                <w:szCs w:val="28"/>
              </w:rPr>
              <w:t>一览表</w:t>
            </w:r>
            <w:r>
              <w:rPr>
                <w:rFonts w:hint="eastAsia" w:asciiTheme="minorEastAsia" w:hAnsiTheme="minorEastAsia" w:eastAsiaTheme="minorEastAsia"/>
                <w:sz w:val="28"/>
                <w:szCs w:val="28"/>
              </w:rPr>
              <w:t>、</w:t>
            </w:r>
            <w:r>
              <w:rPr>
                <w:rFonts w:asciiTheme="minorEastAsia" w:hAnsiTheme="minorEastAsia" w:eastAsiaTheme="minorEastAsia"/>
                <w:sz w:val="28"/>
                <w:szCs w:val="28"/>
              </w:rPr>
              <w:t>偏离表</w:t>
            </w:r>
            <w:r>
              <w:rPr>
                <w:rFonts w:hint="eastAsia" w:asciiTheme="minorEastAsia" w:hAnsiTheme="minorEastAsia" w:eastAsiaTheme="minorEastAsia"/>
                <w:sz w:val="28"/>
                <w:szCs w:val="28"/>
              </w:rPr>
              <w:t>、法定代表人身份证明、法定代表人授权书、保证金承诺函、开票信息表等必须由投标人的法定代表人或其委托代理人亲自签字和加盖单位章。</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2、上述签字盖章要求投标文件正本须本人亲笔签字、盖章必须为原章。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17</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sz w:val="28"/>
                <w:szCs w:val="28"/>
              </w:rPr>
              <w:t>投标文件份数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1、纸制正本、电子版（含PDF版投标文件+EXCEL版商务标）各一份。</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2、投标文件封面上应清楚地标记“正本”。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装订顺序要求：</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投标函部分：包括投标函目录的内容；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商务标部分：包括商务标目录的内容；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上述二部分装订为一本，每份装订应牢固、不易拆散和换页，提倡双面打印。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19</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封标</w:t>
            </w:r>
          </w:p>
        </w:tc>
        <w:tc>
          <w:tcPr>
            <w:tcW w:w="7547" w:type="dxa"/>
            <w:gridSpan w:val="4"/>
            <w:vAlign w:val="center"/>
          </w:tcPr>
          <w:p>
            <w:pPr>
              <w:snapToGrid w:val="0"/>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（项 目 名 称）投标文件在    年  月  日   时  分前不得开启                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投标有效期</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从</w:t>
            </w: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sz w:val="28"/>
                <w:szCs w:val="28"/>
              </w:rPr>
              <w:t>起算的60日历天投标有效期内有效</w:t>
            </w:r>
            <w:r>
              <w:rPr>
                <w:rFonts w:hint="eastAsia" w:asciiTheme="minorEastAsia" w:hAnsiTheme="minorEastAsia" w:eastAsiaTheme="minorEastAsia"/>
                <w:sz w:val="28"/>
                <w:szCs w:val="28"/>
              </w:rPr>
              <w:t>。</w:t>
            </w:r>
          </w:p>
          <w:p>
            <w:pPr>
              <w:pStyle w:val="6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2、投标有效期内，投标人不得要求撤销或修改其投标文件内容。</w:t>
            </w:r>
          </w:p>
          <w:p>
            <w:pPr>
              <w:pStyle w:val="6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出现特殊情况需要延长投标有效期的，招标人以书面形式通知所有投标人延长投标有效期。投标人同意延长的，应相应延长其投标保证金的有效期，但不得修改投标文件实质性内容；投标人拒绝延长的，其投标失效，但投标人有权收回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证金</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1、投标保证金</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b/>
                <w:bCs/>
                <w:sz w:val="28"/>
                <w:szCs w:val="28"/>
                <w:u w:val="single"/>
              </w:rPr>
              <w:t>000</w:t>
            </w:r>
            <w:r>
              <w:rPr>
                <w:rFonts w:asciiTheme="minorEastAsia" w:hAnsiTheme="minorEastAsia" w:eastAsiaTheme="minorEastAsia"/>
                <w:b/>
                <w:sz w:val="28"/>
                <w:szCs w:val="28"/>
                <w:u w:val="single"/>
              </w:rPr>
              <w:t>元</w:t>
            </w:r>
            <w:r>
              <w:rPr>
                <w:rFonts w:asciiTheme="minorEastAsia" w:hAnsiTheme="minorEastAsia" w:eastAsiaTheme="minorEastAsia"/>
                <w:sz w:val="28"/>
                <w:szCs w:val="28"/>
              </w:rPr>
              <w:t>人民币</w:t>
            </w:r>
            <w:r>
              <w:rPr>
                <w:rFonts w:hint="eastAsia" w:asciiTheme="minorEastAsia" w:hAnsiTheme="minorEastAsia" w:eastAsiaTheme="minorEastAsia"/>
                <w:sz w:val="28"/>
                <w:szCs w:val="28"/>
              </w:rPr>
              <w:t>。中标签合同后直接转为履约保证金。</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2、投标保证金类型：银行汇票、转账凭证、货款或工程款（在衡钢有足额货款或工程款的，可充抵保证金，但须提交投标保证金承诺函）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Align w:val="center"/>
          </w:tcPr>
          <w:p>
            <w:pPr>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投标保证金规定</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1、中标人投标保证金在招标方与中标人签订合同送合格品入厂或货品验收后20个工作日后退还。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2、未中标人投标保证金（银行汇票、 转账）于中标通知书发出之日起10个工作日内退还。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3、有下列情形之一的，投标保证金将不予退还：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（1）投标人在规定的投标有效期内撤销或修改其投标文件。</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（2）中标人在收到中标通知书后，无正当理由拒签合同和协议书或未按招标文件规定提交履约担保。</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（3）投标人</w:t>
            </w:r>
            <w:r>
              <w:rPr>
                <w:rFonts w:asciiTheme="minorEastAsia" w:hAnsiTheme="minorEastAsia" w:eastAsiaTheme="minorEastAsia"/>
                <w:sz w:val="28"/>
                <w:szCs w:val="28"/>
              </w:rPr>
              <w:t>存在腐败或欺诈</w:t>
            </w:r>
            <w:r>
              <w:rPr>
                <w:rFonts w:hint="eastAsia" w:asciiTheme="minorEastAsia" w:hAnsiTheme="minorEastAsia" w:eastAsiaTheme="minorEastAsia"/>
                <w:sz w:val="28"/>
                <w:szCs w:val="28"/>
              </w:rPr>
              <w:t>、</w:t>
            </w: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等违法违规</w:t>
            </w:r>
            <w:r>
              <w:rPr>
                <w:rFonts w:asciiTheme="minorEastAsia" w:hAnsiTheme="minorEastAsia" w:eastAsiaTheme="minorEastAsia"/>
                <w:sz w:val="28"/>
                <w:szCs w:val="28"/>
              </w:rPr>
              <w:t>行为</w:t>
            </w:r>
            <w:r>
              <w:rPr>
                <w:rFonts w:hint="eastAsia" w:asciiTheme="minorEastAsia" w:hAnsiTheme="minorEastAsia" w:eastAsiaTheme="minorEastAsia"/>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开标程序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1、密封情况检查：由招标人或投标人代表检查。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2、开标顺序：按递交投标文件的先后顺序或抽签。</w:t>
            </w:r>
          </w:p>
          <w:p>
            <w:pPr>
              <w:spacing w:line="360" w:lineRule="exact"/>
              <w:jc w:val="left"/>
              <w:rPr>
                <w:rFonts w:asciiTheme="minorEastAsia" w:hAnsiTheme="minorEastAsia" w:eastAsiaTheme="minorEastAsia"/>
                <w:color w:val="FF0000"/>
                <w:sz w:val="28"/>
                <w:szCs w:val="28"/>
              </w:rPr>
            </w:pPr>
            <w:r>
              <w:rPr>
                <w:rFonts w:hint="eastAsia" w:asciiTheme="minorEastAsia" w:hAnsiTheme="minorEastAsia" w:eastAsiaTheme="minorEastAsia"/>
                <w:sz w:val="28"/>
                <w:szCs w:val="28"/>
              </w:rPr>
              <w:t>3、招标人在规定的开标时间和地点公开唱标，</w:t>
            </w:r>
            <w:r>
              <w:rPr>
                <w:rFonts w:asciiTheme="minorEastAsia" w:hAnsiTheme="minorEastAsia" w:eastAsiaTheme="minorEastAsia"/>
                <w:sz w:val="28"/>
                <w:szCs w:val="28"/>
              </w:rPr>
              <w:t>招标人主持开标会议</w:t>
            </w:r>
            <w:r>
              <w:rPr>
                <w:rFonts w:hint="eastAsia" w:asciiTheme="minorEastAsia" w:hAnsiTheme="minorEastAsia" w:eastAsiaTheme="minorEastAsia"/>
                <w:sz w:val="28"/>
                <w:szCs w:val="28"/>
              </w:rPr>
              <w:t>，并邀请投标人的法定代表人或委托代理人准时参加。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评标委员会组建</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评标专家确定方式：招标方从衡钢评委专家库中抽取。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25</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招标方将组建评标委员会，其成员由技术、经济、法律</w:t>
            </w:r>
            <w:r>
              <w:rPr>
                <w:rFonts w:hint="eastAsia" w:asciiTheme="minorEastAsia" w:hAnsiTheme="minorEastAsia" w:eastAsiaTheme="minorEastAsia"/>
                <w:sz w:val="28"/>
                <w:szCs w:val="28"/>
              </w:rPr>
              <w:t>、财务</w:t>
            </w:r>
            <w:r>
              <w:rPr>
                <w:rFonts w:asciiTheme="minorEastAsia" w:hAnsiTheme="minorEastAsia" w:eastAsiaTheme="minorEastAsia"/>
                <w:sz w:val="28"/>
                <w:szCs w:val="28"/>
              </w:rPr>
              <w:t>等方面的专家代表组成。评标委员会对投标文件进行审查、评估和比较。</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开标后，直至向中标的投标人授予合同时止，凡与审查、澄清、评价和比较投标的有关资料及授标意见等，均不得向与评标无关其他人透露。</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在评标过程中，如果投标人试图在投标文件审查、澄清、比较及授予合同方面向招标方施加任何影响，其投标</w:t>
            </w:r>
            <w:r>
              <w:rPr>
                <w:rFonts w:hint="eastAsia" w:asciiTheme="minorEastAsia" w:hAnsiTheme="minorEastAsia" w:eastAsiaTheme="minorEastAsia"/>
                <w:sz w:val="28"/>
                <w:szCs w:val="28"/>
              </w:rPr>
              <w:t>文件</w:t>
            </w:r>
            <w:r>
              <w:rPr>
                <w:rFonts w:asciiTheme="minorEastAsia" w:hAnsiTheme="minorEastAsia" w:eastAsiaTheme="minorEastAsia"/>
                <w:sz w:val="28"/>
                <w:szCs w:val="28"/>
              </w:rPr>
              <w:t>将被拒绝</w:t>
            </w:r>
          </w:p>
          <w:p>
            <w:pPr>
              <w:pStyle w:val="6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4、评标活动遵循公平、公正、科学和择优的原则。</w:t>
            </w:r>
          </w:p>
          <w:p>
            <w:pPr>
              <w:pStyle w:val="6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5、评标委员会按照“评标办法”规定的评审因素、标准和程序对投标文件进行评审。 评标办法没有规定的方法、评审因素和标准，不作为评标依据。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资格审查</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如果没有进行资格预审，招标方将对</w:t>
            </w:r>
            <w:r>
              <w:rPr>
                <w:rFonts w:hint="eastAsia" w:asciiTheme="minorEastAsia" w:hAnsiTheme="minorEastAsia" w:eastAsiaTheme="minorEastAsia"/>
                <w:sz w:val="28"/>
                <w:szCs w:val="28"/>
              </w:rPr>
              <w:t>评审价最低</w:t>
            </w:r>
            <w:r>
              <w:rPr>
                <w:rFonts w:asciiTheme="minorEastAsia" w:hAnsiTheme="minorEastAsia" w:eastAsiaTheme="minorEastAsia"/>
                <w:sz w:val="28"/>
                <w:szCs w:val="28"/>
              </w:rPr>
              <w:t>的投标人是否有能力履行合同义务进行审查。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审查将根据投标人按规定提交的资格证明文件和招标方认为其它有必要的、合适的</w:t>
            </w:r>
            <w:r>
              <w:rPr>
                <w:rFonts w:hint="eastAsia" w:asciiTheme="minorEastAsia" w:hAnsiTheme="minorEastAsia" w:eastAsiaTheme="minorEastAsia"/>
                <w:sz w:val="28"/>
                <w:szCs w:val="28"/>
              </w:rPr>
              <w:t>方式（含现场考察）</w:t>
            </w:r>
            <w:r>
              <w:rPr>
                <w:rFonts w:asciiTheme="minorEastAsia" w:hAnsiTheme="minorEastAsia" w:eastAsiaTheme="minorEastAsia"/>
                <w:sz w:val="28"/>
                <w:szCs w:val="28"/>
              </w:rPr>
              <w:t>，对投标人的财务、</w:t>
            </w:r>
            <w:r>
              <w:rPr>
                <w:rFonts w:hint="eastAsia" w:asciiTheme="minorEastAsia" w:hAnsiTheme="minorEastAsia" w:eastAsiaTheme="minorEastAsia"/>
                <w:sz w:val="28"/>
                <w:szCs w:val="28"/>
              </w:rPr>
              <w:t>业绩、</w:t>
            </w:r>
            <w:r>
              <w:rPr>
                <w:rFonts w:asciiTheme="minorEastAsia" w:hAnsiTheme="minorEastAsia" w:eastAsiaTheme="minorEastAsia"/>
                <w:sz w:val="28"/>
                <w:szCs w:val="28"/>
              </w:rPr>
              <w:t>技术和生产能力等进行审查。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如果审查通过，则将合同授予投标人；如果审查没有通过，则拒绝其投标。在此情况下，招标方将对下一个</w:t>
            </w:r>
            <w:r>
              <w:rPr>
                <w:rFonts w:hint="eastAsia" w:asciiTheme="minorEastAsia" w:hAnsiTheme="minorEastAsia" w:eastAsiaTheme="minorEastAsia"/>
                <w:sz w:val="28"/>
                <w:szCs w:val="28"/>
              </w:rPr>
              <w:t>评审价较低</w:t>
            </w:r>
            <w:r>
              <w:rPr>
                <w:rFonts w:asciiTheme="minorEastAsia" w:hAnsiTheme="minorEastAsia" w:eastAsiaTheme="minorEastAsia"/>
                <w:sz w:val="28"/>
                <w:szCs w:val="28"/>
              </w:rPr>
              <w:t>的投标人的能力作类似审查。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27</w:t>
            </w:r>
          </w:p>
        </w:tc>
        <w:tc>
          <w:tcPr>
            <w:tcW w:w="1418" w:type="dxa"/>
            <w:vAlign w:val="center"/>
          </w:tcPr>
          <w:p>
            <w:pPr>
              <w:pStyle w:val="15"/>
              <w:tabs>
                <w:tab w:val="left" w:pos="840"/>
              </w:tabs>
              <w:spacing w:after="20" w:line="300" w:lineRule="exact"/>
              <w:ind w:left="431" w:hanging="431"/>
              <w:jc w:val="left"/>
              <w:rPr>
                <w:rFonts w:asciiTheme="minorEastAsia" w:hAnsiTheme="minorEastAsia" w:eastAsiaTheme="minorEastAsia"/>
                <w:bCs/>
                <w:sz w:val="28"/>
                <w:szCs w:val="28"/>
                <w:u w:val="single"/>
              </w:rPr>
            </w:pPr>
          </w:p>
          <w:p>
            <w:pPr>
              <w:pStyle w:val="15"/>
              <w:tabs>
                <w:tab w:val="left" w:pos="840"/>
              </w:tabs>
              <w:spacing w:after="20" w:line="300" w:lineRule="exact"/>
              <w:ind w:left="431" w:hanging="431"/>
              <w:jc w:val="left"/>
              <w:rPr>
                <w:rFonts w:asciiTheme="minorEastAsia" w:hAnsiTheme="minorEastAsia" w:eastAsiaTheme="minorEastAsia"/>
                <w:bCs/>
                <w:sz w:val="28"/>
                <w:szCs w:val="28"/>
              </w:rPr>
            </w:pPr>
            <w:r>
              <w:rPr>
                <w:rFonts w:asciiTheme="minorEastAsia" w:hAnsiTheme="minorEastAsia" w:eastAsiaTheme="minorEastAsia"/>
                <w:bCs/>
                <w:sz w:val="28"/>
                <w:szCs w:val="28"/>
              </w:rPr>
              <w:t>废标原则</w:t>
            </w:r>
          </w:p>
          <w:p>
            <w:pPr>
              <w:spacing w:line="288" w:lineRule="auto"/>
              <w:jc w:val="left"/>
              <w:rPr>
                <w:rFonts w:asciiTheme="minorEastAsia" w:hAnsiTheme="minorEastAsia" w:eastAsiaTheme="minorEastAsia"/>
                <w:bCs/>
                <w:sz w:val="28"/>
                <w:szCs w:val="28"/>
              </w:rPr>
            </w:pP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全部投标单位不具备投标资格。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全部投标均未对招标文件</w:t>
            </w:r>
            <w:r>
              <w:rPr>
                <w:rFonts w:hint="eastAsia" w:asciiTheme="minorEastAsia" w:hAnsiTheme="minorEastAsia" w:eastAsiaTheme="minorEastAsia"/>
                <w:sz w:val="28"/>
                <w:szCs w:val="28"/>
              </w:rPr>
              <w:t>做</w:t>
            </w:r>
            <w:r>
              <w:rPr>
                <w:rFonts w:asciiTheme="minorEastAsia" w:hAnsiTheme="minorEastAsia" w:eastAsiaTheme="minorEastAsia"/>
                <w:sz w:val="28"/>
                <w:szCs w:val="28"/>
              </w:rPr>
              <w:t>出基本响应。</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投标价超过招标方的承受能力（或期望值）。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因有效投标人不足，明显缺乏竞争力</w:t>
            </w:r>
            <w:r>
              <w:rPr>
                <w:rFonts w:hint="eastAsia" w:asciiTheme="minorEastAsia" w:hAnsiTheme="minorEastAsia" w:eastAsiaTheme="minorEastAsia"/>
                <w:sz w:val="28"/>
                <w:szCs w:val="28"/>
              </w:rPr>
              <w:t>。</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5、有串通投标或弄虚作假或有其他违法行为的。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合同授予</w:t>
            </w: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招标方将把合同授予被确定为实质上响应招标文件要求的、能够满意地履行合同义务的</w:t>
            </w:r>
            <w:r>
              <w:rPr>
                <w:rFonts w:hint="eastAsia" w:asciiTheme="minorEastAsia" w:hAnsiTheme="minorEastAsia" w:eastAsiaTheme="minorEastAsia"/>
                <w:sz w:val="28"/>
                <w:szCs w:val="28"/>
              </w:rPr>
              <w:t>经评审价最低</w:t>
            </w:r>
            <w:r>
              <w:rPr>
                <w:rFonts w:asciiTheme="minorEastAsia" w:hAnsiTheme="minorEastAsia" w:eastAsiaTheme="minorEastAsia"/>
                <w:sz w:val="28"/>
                <w:szCs w:val="28"/>
              </w:rPr>
              <w:t>的</w:t>
            </w:r>
            <w:r>
              <w:rPr>
                <w:rFonts w:hint="eastAsia" w:asciiTheme="minorEastAsia" w:hAnsiTheme="minorEastAsia" w:eastAsiaTheme="minorEastAsia"/>
                <w:sz w:val="28"/>
                <w:szCs w:val="28"/>
              </w:rPr>
              <w:t>一到两个</w:t>
            </w:r>
            <w:r>
              <w:rPr>
                <w:rFonts w:asciiTheme="minorEastAsia" w:hAnsiTheme="minorEastAsia" w:eastAsiaTheme="minorEastAsia"/>
                <w:sz w:val="28"/>
                <w:szCs w:val="28"/>
              </w:rPr>
              <w:t>投标人。</w:t>
            </w:r>
            <w:r>
              <w:rPr>
                <w:rFonts w:hint="eastAsia" w:asciiTheme="minorEastAsia" w:hAnsiTheme="minorEastAsia" w:eastAsiaTheme="minorEastAsia"/>
                <w:sz w:val="28"/>
                <w:szCs w:val="28"/>
              </w:rPr>
              <w:t>当采购方将采购供货合同授予二个投标人时，采购量原则上按7：3比例进行分配；合同价为中标最低价。</w:t>
            </w:r>
          </w:p>
          <w:p>
            <w:pPr>
              <w:tabs>
                <w:tab w:val="left" w:pos="840"/>
              </w:tabs>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2、招标方有权增减采购数量，价格按招标确定的单价执行。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29</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合同价格</w:t>
            </w:r>
          </w:p>
        </w:tc>
        <w:tc>
          <w:tcPr>
            <w:tcW w:w="7547" w:type="dxa"/>
            <w:gridSpan w:val="4"/>
            <w:vAlign w:val="center"/>
          </w:tcPr>
          <w:p>
            <w:pPr>
              <w:tabs>
                <w:tab w:val="left" w:pos="840"/>
              </w:tabs>
              <w:adjustRightInd w:val="0"/>
              <w:snapToGrid w:val="0"/>
              <w:spacing w:line="36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合同价格为采购方现场交货价。除非技术规格书中有特别规定，如有则以技术规格书中要求为准。中标人价格包含整个货物及服务项目全费用价格，即价格应包括制造、采购、配套、运输、安装调试（指导）、培训、有关技术服务及合同规定各种税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中标通知</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在投标有效期期满之前，招标方将书面通知中标人中标。</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中标通知书将是合同的一个组成部分。</w:t>
            </w:r>
          </w:p>
          <w:p>
            <w:pPr>
              <w:spacing w:line="288"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在中标人按规定提交招标服务费后，招标方将迅速通知其他未中标的投标人，并按规定退还其投标保证金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31</w:t>
            </w:r>
          </w:p>
        </w:tc>
        <w:tc>
          <w:tcPr>
            <w:tcW w:w="1418" w:type="dxa"/>
            <w:vAlign w:val="center"/>
          </w:tcPr>
          <w:p>
            <w:pPr>
              <w:spacing w:line="288" w:lineRule="auto"/>
              <w:rPr>
                <w:rFonts w:asciiTheme="minorEastAsia" w:hAnsiTheme="minorEastAsia" w:eastAsiaTheme="minorEastAsia"/>
                <w:sz w:val="28"/>
                <w:szCs w:val="28"/>
              </w:rPr>
            </w:pPr>
            <w:r>
              <w:rPr>
                <w:rFonts w:hint="eastAsia" w:asciiTheme="minorEastAsia" w:hAnsiTheme="minorEastAsia" w:eastAsiaTheme="minorEastAsia"/>
                <w:bCs/>
                <w:sz w:val="28"/>
                <w:szCs w:val="28"/>
              </w:rPr>
              <w:t>签订合同</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1、招标人和中标人应当自中标通知书规定时间签订合同，中标人无正当理由拒签合同的，招标人取消其中标资格，其投标保证金不予退还；给招标人造成的损失超过投标保证金数额的，中标人还应当对超过部分予以赔偿。</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招标文件、中标方的投标文件及评标过程中有关澄清文件均可作为合同附件。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7" w:type="dxa"/>
            <w:vMerge w:val="restart"/>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32</w:t>
            </w:r>
          </w:p>
        </w:tc>
        <w:tc>
          <w:tcPr>
            <w:tcW w:w="1418" w:type="dxa"/>
            <w:vMerge w:val="restart"/>
            <w:vAlign w:val="center"/>
          </w:tcPr>
          <w:p>
            <w:pPr>
              <w:spacing w:line="288" w:lineRule="auto"/>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中标服务费标准</w:t>
            </w:r>
          </w:p>
        </w:tc>
        <w:tc>
          <w:tcPr>
            <w:tcW w:w="7547" w:type="dxa"/>
            <w:gridSpan w:val="4"/>
            <w:vAlign w:val="center"/>
          </w:tcPr>
          <w:p>
            <w:pPr>
              <w:tabs>
                <w:tab w:val="left" w:pos="84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中标单位须向招标单位以转账方式交纳招标服务费，招标服务费采用差额定率累进计费方式收取，标准如下：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sz w:val="28"/>
                <w:szCs w:val="28"/>
              </w:rPr>
            </w:pPr>
          </w:p>
        </w:tc>
        <w:tc>
          <w:tcPr>
            <w:tcW w:w="3293" w:type="dxa"/>
            <w:vAlign w:val="center"/>
          </w:tcPr>
          <w:p>
            <w:pPr>
              <w:spacing w:line="360" w:lineRule="exact"/>
              <w:ind w:left="280" w:hanging="280" w:hangingChars="1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中标金额    </w:t>
            </w:r>
            <w:r>
              <w:rPr>
                <w:rFonts w:asciiTheme="minorEastAsia" w:hAnsiTheme="minorEastAsia" w:eastAsiaTheme="minorEastAsia"/>
                <w:sz w:val="28"/>
                <w:szCs w:val="28"/>
              </w:rPr>
              <w:t>(</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w:t>
            </w:r>
          </w:p>
        </w:tc>
        <w:tc>
          <w:tcPr>
            <w:tcW w:w="1575"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货物</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c>
          <w:tcPr>
            <w:tcW w:w="1369"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服务</w:t>
            </w:r>
            <w:r>
              <w:rPr>
                <w:rFonts w:hint="eastAsia" w:asciiTheme="minorEastAsia" w:hAnsiTheme="minorEastAsia" w:eastAsiaTheme="minorEastAsia"/>
                <w:sz w:val="28"/>
                <w:szCs w:val="28"/>
              </w:rPr>
              <w:t>及其它</w:t>
            </w:r>
            <w:r>
              <w:rPr>
                <w:rFonts w:asciiTheme="minorEastAsia" w:hAnsiTheme="minorEastAsia" w:eastAsiaTheme="minorEastAsia"/>
                <w:sz w:val="28"/>
                <w:szCs w:val="28"/>
              </w:rPr>
              <w:t>招标</w:t>
            </w:r>
          </w:p>
        </w:tc>
        <w:tc>
          <w:tcPr>
            <w:tcW w:w="1310"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工程</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100以下</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不收取</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0.75%</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100-500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500-1000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1000-5000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10000以上</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指定账</w:t>
            </w:r>
            <w:r>
              <w:rPr>
                <w:rFonts w:asciiTheme="minorEastAsia" w:hAnsiTheme="minorEastAsia" w:eastAsiaTheme="minorEastAsia"/>
                <w:sz w:val="28"/>
                <w:szCs w:val="28"/>
              </w:rPr>
              <w:t>户</w:t>
            </w:r>
          </w:p>
        </w:tc>
        <w:tc>
          <w:tcPr>
            <w:tcW w:w="7547" w:type="dxa"/>
            <w:gridSpan w:val="4"/>
            <w:vAlign w:val="center"/>
          </w:tcPr>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r>
              <w:rPr>
                <w:rFonts w:hint="eastAsia" w:asciiTheme="minorEastAsia" w:hAnsiTheme="minorEastAsia" w:eastAsiaTheme="minorEastAsia"/>
                <w:b/>
                <w:kern w:val="0"/>
                <w:sz w:val="28"/>
                <w:szCs w:val="28"/>
              </w:rPr>
              <w:t>中标服务费交款</w:t>
            </w:r>
            <w:r>
              <w:rPr>
                <w:rFonts w:hint="eastAsia" w:asciiTheme="minorEastAsia" w:hAnsiTheme="minorEastAsia" w:eastAsiaTheme="minorEastAsia"/>
                <w:b/>
                <w:sz w:val="28"/>
                <w:szCs w:val="28"/>
              </w:rPr>
              <w:t>指定账</w:t>
            </w:r>
            <w:r>
              <w:rPr>
                <w:rFonts w:asciiTheme="minorEastAsia" w:hAnsiTheme="minorEastAsia" w:eastAsiaTheme="minorEastAsia"/>
                <w:b/>
                <w:sz w:val="28"/>
                <w:szCs w:val="28"/>
              </w:rPr>
              <w:t>户</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工行衡阳银雁支行</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账  号：</w:t>
            </w:r>
            <w:r>
              <w:rPr>
                <w:rFonts w:hint="eastAsia" w:asciiTheme="minorEastAsia" w:hAnsiTheme="minorEastAsia" w:eastAsiaTheme="minorEastAsia"/>
                <w:sz w:val="28"/>
                <w:szCs w:val="28"/>
              </w:rPr>
              <w:t>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仿宋" w:hAnsi="仿宋" w:eastAsia="仿宋" w:cs="仿宋"/>
                <w:sz w:val="28"/>
                <w:szCs w:val="28"/>
              </w:rPr>
              <w:t>34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仿宋" w:hAnsi="仿宋" w:eastAsia="仿宋" w:cs="仿宋"/>
                <w:sz w:val="28"/>
                <w:szCs w:val="28"/>
                <w:lang w:eastAsia="zh-CN"/>
              </w:rPr>
              <w:t>备注</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仿宋" w:hAnsi="仿宋" w:eastAsia="仿宋" w:cs="仿宋"/>
                <w:bCs/>
                <w:sz w:val="28"/>
                <w:szCs w:val="28"/>
              </w:rPr>
              <w:t>投标保证金退款、</w:t>
            </w:r>
            <w:r>
              <w:rPr>
                <w:rFonts w:hint="eastAsia" w:ascii="仿宋" w:hAnsi="仿宋" w:eastAsia="仿宋" w:cs="仿宋"/>
                <w:bCs/>
                <w:sz w:val="28"/>
                <w:szCs w:val="28"/>
                <w:lang w:eastAsia="zh-CN"/>
              </w:rPr>
              <w:t>中标服务费和</w:t>
            </w:r>
            <w:r>
              <w:rPr>
                <w:rFonts w:hint="eastAsia" w:ascii="仿宋" w:hAnsi="仿宋" w:eastAsia="仿宋" w:cs="仿宋"/>
                <w:bCs/>
                <w:sz w:val="28"/>
                <w:szCs w:val="28"/>
              </w:rPr>
              <w:t>标书费开票请各投标人自行在衡阳华菱钢管有限公司网站</w:t>
            </w:r>
            <w:r>
              <w:fldChar w:fldCharType="begin"/>
            </w:r>
            <w:r>
              <w:instrText xml:space="preserve"> HYPERLINK "http://www.hysteeltube.com/czsc.html" </w:instrText>
            </w:r>
            <w:r>
              <w:fldChar w:fldCharType="separate"/>
            </w:r>
            <w:r>
              <w:rPr>
                <w:rStyle w:val="42"/>
                <w:rFonts w:hint="eastAsia" w:ascii="仿宋" w:hAnsi="仿宋" w:eastAsia="仿宋" w:cs="仿宋"/>
                <w:bCs/>
                <w:color w:val="800080"/>
                <w:sz w:val="28"/>
                <w:szCs w:val="28"/>
              </w:rPr>
              <w:t>http://www.hysteeltube.com/czsc.html</w:t>
            </w:r>
            <w:r>
              <w:rPr>
                <w:rStyle w:val="42"/>
                <w:rFonts w:hint="eastAsia" w:ascii="仿宋" w:hAnsi="仿宋" w:eastAsia="仿宋" w:cs="仿宋"/>
                <w:bCs/>
                <w:color w:val="800080"/>
                <w:sz w:val="28"/>
                <w:szCs w:val="28"/>
              </w:rPr>
              <w:fldChar w:fldCharType="end"/>
            </w:r>
            <w:r>
              <w:rPr>
                <w:rFonts w:hint="eastAsia" w:ascii="仿宋" w:hAnsi="仿宋" w:eastAsia="仿宋" w:cs="仿宋"/>
                <w:bCs/>
                <w:sz w:val="28"/>
                <w:szCs w:val="28"/>
              </w:rPr>
              <w:t>招投标栏目公告信息中下载投标保证金退款、中标费服务及标书开票操作说明办理</w:t>
            </w:r>
            <w:r>
              <w:rPr>
                <w:rFonts w:hint="eastAsia" w:asciiTheme="minorEastAsia" w:hAnsiTheme="minorEastAsia" w:eastAsiaTheme="minorEastAsia"/>
                <w:sz w:val="28"/>
                <w:szCs w:val="28"/>
              </w:rPr>
              <w:t>。</w:t>
            </w:r>
          </w:p>
        </w:tc>
      </w:tr>
    </w:tbl>
    <w:p>
      <w:pPr>
        <w:pStyle w:val="2"/>
        <w:spacing w:before="0" w:after="0"/>
        <w:jc w:val="center"/>
        <w:rPr>
          <w:rFonts w:asciiTheme="minorEastAsia" w:hAnsiTheme="minorEastAsia" w:eastAsiaTheme="minorEastAsia"/>
          <w:b w:val="0"/>
          <w:bCs w:val="0"/>
          <w:sz w:val="28"/>
          <w:szCs w:val="28"/>
        </w:rPr>
      </w:pPr>
    </w:p>
    <w:p>
      <w:pPr>
        <w:rPr>
          <w:rFonts w:asciiTheme="minorEastAsia" w:hAnsiTheme="minorEastAsia" w:eastAsiaTheme="minorEastAsia"/>
        </w:rPr>
      </w:pPr>
      <w:r>
        <w:rPr>
          <w:rFonts w:asciiTheme="minorEastAsia" w:hAnsiTheme="minorEastAsia" w:eastAsiaTheme="minorEastAsia"/>
        </w:rPr>
        <w:br w:type="page"/>
      </w:r>
    </w:p>
    <w:bookmarkEnd w:id="9"/>
    <w:bookmarkEnd w:id="10"/>
    <w:p>
      <w:pPr>
        <w:ind w:firstLine="4638" w:firstLineChars="1650"/>
        <w:rPr>
          <w:rFonts w:asciiTheme="minorEastAsia" w:hAnsiTheme="minorEastAsia" w:eastAsiaTheme="minorEastAsia"/>
          <w:b/>
          <w:sz w:val="28"/>
          <w:szCs w:val="28"/>
        </w:rPr>
      </w:pPr>
      <w:r>
        <w:rPr>
          <w:rFonts w:hint="eastAsia" w:asciiTheme="minorEastAsia" w:hAnsiTheme="minorEastAsia" w:eastAsiaTheme="minorEastAsia"/>
          <w:b/>
          <w:sz w:val="28"/>
          <w:szCs w:val="28"/>
        </w:rPr>
        <w:t>第三章  评标办法</w:t>
      </w:r>
    </w:p>
    <w:tbl>
      <w:tblPr>
        <w:tblStyle w:val="37"/>
        <w:tblW w:w="916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76"/>
        <w:gridCol w:w="1559"/>
        <w:gridCol w:w="5867"/>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6" w:type="dxa"/>
            <w:gridSpan w:val="2"/>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条款号</w:t>
            </w:r>
          </w:p>
        </w:tc>
        <w:tc>
          <w:tcPr>
            <w:tcW w:w="1559"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评审因素</w:t>
            </w:r>
          </w:p>
        </w:tc>
        <w:tc>
          <w:tcPr>
            <w:tcW w:w="5867"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形式</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递交时间及地点</w:t>
            </w:r>
          </w:p>
        </w:tc>
        <w:tc>
          <w:tcPr>
            <w:tcW w:w="5867"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未按第一章第</w:t>
            </w:r>
            <w:r>
              <w:rPr>
                <w:rFonts w:hint="eastAsia" w:asciiTheme="minorEastAsia" w:hAnsiTheme="minorEastAsia" w:eastAsiaTheme="minorEastAsia"/>
                <w:b/>
                <w:kern w:val="0"/>
                <w:sz w:val="24"/>
              </w:rPr>
              <w:t>3</w:t>
            </w:r>
            <w:r>
              <w:rPr>
                <w:rFonts w:hint="eastAsia" w:asciiTheme="minorEastAsia" w:hAnsiTheme="minorEastAsia" w:eastAsiaTheme="minorEastAsia"/>
                <w:kern w:val="0"/>
                <w:sz w:val="24"/>
              </w:rPr>
              <w:t>项规定投递标书，则为不合格投标人。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装订、密封及格式</w:t>
            </w:r>
          </w:p>
        </w:tc>
        <w:tc>
          <w:tcPr>
            <w:tcW w:w="5867"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未按第二章第</w:t>
            </w:r>
            <w:r>
              <w:rPr>
                <w:rFonts w:hint="eastAsia" w:asciiTheme="minorEastAsia" w:hAnsiTheme="minorEastAsia" w:eastAsiaTheme="minorEastAsia"/>
                <w:b/>
                <w:kern w:val="0"/>
                <w:sz w:val="24"/>
              </w:rPr>
              <w:t>14、18、19</w:t>
            </w:r>
            <w:r>
              <w:rPr>
                <w:rFonts w:hint="eastAsia" w:asciiTheme="minorEastAsia" w:hAnsiTheme="minorEastAsia" w:eastAsiaTheme="minorEastAsia"/>
                <w:kern w:val="0"/>
                <w:sz w:val="24"/>
              </w:rPr>
              <w:t>项规定格式制作标书，则为不合格投标人。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260" w:lineRule="exact"/>
              <w:rPr>
                <w:rFonts w:asciiTheme="minorEastAsia" w:hAnsiTheme="minorEastAsia" w:eastAsiaTheme="minorEastAsia"/>
                <w:sz w:val="24"/>
              </w:rPr>
            </w:pPr>
            <w:r>
              <w:rPr>
                <w:rFonts w:hint="eastAsia" w:asciiTheme="minorEastAsia" w:hAnsiTheme="minorEastAsia" w:eastAsiaTheme="minorEastAsia"/>
                <w:sz w:val="24"/>
              </w:rPr>
              <w:t>签字盖章</w:t>
            </w:r>
          </w:p>
        </w:tc>
        <w:tc>
          <w:tcPr>
            <w:tcW w:w="5867" w:type="dxa"/>
            <w:vAlign w:val="center"/>
          </w:tcPr>
          <w:p>
            <w:pPr>
              <w:spacing w:line="260" w:lineRule="exact"/>
              <w:rPr>
                <w:rFonts w:asciiTheme="minorEastAsia" w:hAnsiTheme="minorEastAsia" w:eastAsiaTheme="minorEastAsia"/>
                <w:sz w:val="24"/>
              </w:rPr>
            </w:pPr>
            <w:r>
              <w:rPr>
                <w:rFonts w:hint="eastAsia" w:asciiTheme="minorEastAsia" w:hAnsiTheme="minorEastAsia" w:eastAsiaTheme="minorEastAsia"/>
                <w:kern w:val="0"/>
                <w:sz w:val="24"/>
              </w:rPr>
              <w:t>未按第二章第</w:t>
            </w:r>
            <w:r>
              <w:rPr>
                <w:rFonts w:hint="eastAsia" w:asciiTheme="minorEastAsia" w:hAnsiTheme="minorEastAsia" w:eastAsiaTheme="minorEastAsia"/>
                <w:b/>
                <w:kern w:val="0"/>
                <w:sz w:val="24"/>
              </w:rPr>
              <w:t>16</w:t>
            </w:r>
            <w:r>
              <w:rPr>
                <w:rFonts w:hint="eastAsia" w:asciiTheme="minorEastAsia" w:hAnsiTheme="minorEastAsia" w:eastAsiaTheme="minorEastAsia"/>
                <w:kern w:val="0"/>
                <w:sz w:val="24"/>
              </w:rPr>
              <w:t>项规定签字盖章</w:t>
            </w:r>
            <w:r>
              <w:rPr>
                <w:rFonts w:hint="eastAsia" w:asciiTheme="minorEastAsia" w:hAnsiTheme="minorEastAsia" w:eastAsiaTheme="minorEastAsia"/>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资格</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营业执照</w:t>
            </w:r>
          </w:p>
        </w:tc>
        <w:tc>
          <w:tcPr>
            <w:tcW w:w="5867"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未提供有效营业执照，</w:t>
            </w:r>
            <w:r>
              <w:rPr>
                <w:rFonts w:hint="eastAsia" w:asciiTheme="minorEastAsia" w:hAnsiTheme="minorEastAsia" w:eastAsiaTheme="minorEastAsia"/>
                <w:kern w:val="0"/>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tcBorders>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投标担保</w:t>
            </w:r>
          </w:p>
        </w:tc>
        <w:tc>
          <w:tcPr>
            <w:tcW w:w="5867" w:type="dxa"/>
            <w:tcBorders>
              <w:right w:val="single" w:color="auto" w:sz="4" w:space="0"/>
            </w:tcBorders>
            <w:vAlign w:val="center"/>
          </w:tcPr>
          <w:p>
            <w:pPr>
              <w:spacing w:line="192" w:lineRule="auto"/>
              <w:rPr>
                <w:rFonts w:asciiTheme="minorEastAsia" w:hAnsiTheme="minorEastAsia" w:eastAsiaTheme="minorEastAsia"/>
                <w:kern w:val="0"/>
                <w:sz w:val="24"/>
              </w:rPr>
            </w:pPr>
            <w:r>
              <w:rPr>
                <w:rFonts w:hint="eastAsia" w:asciiTheme="minorEastAsia" w:hAnsiTheme="minorEastAsia" w:eastAsiaTheme="minorEastAsia"/>
                <w:sz w:val="24"/>
              </w:rPr>
              <w:t>未按第二章第</w:t>
            </w:r>
            <w:r>
              <w:rPr>
                <w:rFonts w:hint="eastAsia" w:asciiTheme="minorEastAsia" w:hAnsiTheme="minorEastAsia" w:eastAsiaTheme="minorEastAsia"/>
                <w:b/>
                <w:sz w:val="24"/>
              </w:rPr>
              <w:t>21</w:t>
            </w:r>
            <w:r>
              <w:rPr>
                <w:rFonts w:hint="eastAsia" w:asciiTheme="minorEastAsia" w:hAnsiTheme="minorEastAsia" w:eastAsiaTheme="minorEastAsia"/>
                <w:sz w:val="24"/>
              </w:rPr>
              <w:t>项规定</w:t>
            </w:r>
            <w:r>
              <w:rPr>
                <w:rFonts w:hint="eastAsia" w:asciiTheme="minorEastAsia" w:hAnsiTheme="minorEastAsia" w:eastAsiaTheme="minorEastAsia"/>
                <w:kern w:val="0"/>
                <w:sz w:val="24"/>
              </w:rPr>
              <w:t>提交担保，则为不合格投标人。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响应</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交货时间</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交货时间偏离且不被招标方接受，则报价无效。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生产厂家</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要求全称填写，不能简写、</w:t>
            </w:r>
            <w:r>
              <w:rPr>
                <w:rFonts w:asciiTheme="minorEastAsia" w:hAnsiTheme="minorEastAsia" w:eastAsiaTheme="minorEastAsia"/>
                <w:kern w:val="0"/>
                <w:sz w:val="24"/>
              </w:rPr>
              <w:t>音译</w:t>
            </w:r>
            <w:r>
              <w:rPr>
                <w:rFonts w:hint="eastAsia" w:asciiTheme="minorEastAsia" w:hAnsiTheme="minorEastAsia" w:eastAsiaTheme="minorEastAsia"/>
                <w:kern w:val="0"/>
                <w:sz w:val="24"/>
              </w:rPr>
              <w:t>、错别字等问题且须在市场监督管理局登记备案，否则报价无效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报价有效性</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报价远低于市场成本</w:t>
            </w:r>
            <w:r>
              <w:rPr>
                <w:rFonts w:hint="eastAsia" w:asciiTheme="minorEastAsia" w:hAnsiTheme="minorEastAsia" w:eastAsiaTheme="minorEastAsia"/>
                <w:sz w:val="24"/>
              </w:rPr>
              <w:t>或</w:t>
            </w:r>
            <w:r>
              <w:rPr>
                <w:rFonts w:hint="eastAsia" w:asciiTheme="minorEastAsia" w:hAnsiTheme="minorEastAsia" w:eastAsiaTheme="minorEastAsia"/>
                <w:kern w:val="0"/>
                <w:sz w:val="24"/>
              </w:rPr>
              <w:t>有明显错误的，则报价无效。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技术要求</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技术要求偏离且不被招标方接受，则报价无效。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46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27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中标</w:t>
            </w:r>
          </w:p>
          <w:p>
            <w:pPr>
              <w:jc w:val="center"/>
              <w:rPr>
                <w:rFonts w:asciiTheme="minorEastAsia" w:hAnsiTheme="minorEastAsia" w:eastAsiaTheme="minorEastAsia"/>
                <w:sz w:val="24"/>
              </w:rPr>
            </w:pPr>
            <w:r>
              <w:rPr>
                <w:rFonts w:hint="eastAsia" w:asciiTheme="minorEastAsia" w:hAnsiTheme="minorEastAsia" w:eastAsiaTheme="minorEastAsia"/>
                <w:sz w:val="24"/>
              </w:rPr>
              <w:t>推荐</w:t>
            </w: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中标排序</w:t>
            </w:r>
          </w:p>
        </w:tc>
        <w:tc>
          <w:tcPr>
            <w:tcW w:w="5867" w:type="dxa"/>
            <w:vAlign w:val="center"/>
          </w:tcPr>
          <w:p>
            <w:pPr>
              <w:tabs>
                <w:tab w:val="left" w:pos="0"/>
                <w:tab w:val="left" w:pos="840"/>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经评审合格的投标人，按有效价格由低到高排名。价格最低的投标人为第一中标候选人，次低为第二中标候选人，依次类推。招标方根据评审情况，可将供货合同授予一个投标单位也可将供货合同分别授予二个投标单位，当招标方将供货合同授予二个不同的投标单位时，供货数量按7：3比例进行分配，合同价为中标单位的最低价。</w:t>
            </w:r>
          </w:p>
        </w:tc>
      </w:tr>
    </w:tbl>
    <w:p>
      <w:pPr>
        <w:pStyle w:val="35"/>
        <w:ind w:firstLine="3233" w:firstLineChars="1150"/>
        <w:jc w:val="both"/>
        <w:rPr>
          <w:rFonts w:asciiTheme="minorEastAsia" w:hAnsiTheme="minorEastAsia" w:eastAsiaTheme="minorEastAsia"/>
          <w:sz w:val="28"/>
          <w:szCs w:val="28"/>
        </w:rPr>
      </w:pPr>
    </w:p>
    <w:p>
      <w:pPr>
        <w:pStyle w:val="35"/>
        <w:ind w:firstLine="3233" w:firstLineChars="1150"/>
        <w:jc w:val="both"/>
        <w:rPr>
          <w:rFonts w:asciiTheme="minorEastAsia" w:hAnsiTheme="minorEastAsia" w:eastAsiaTheme="minorEastAsia"/>
          <w:sz w:val="28"/>
          <w:szCs w:val="28"/>
        </w:rPr>
      </w:pPr>
    </w:p>
    <w:p>
      <w:pPr>
        <w:jc w:val="left"/>
        <w:rPr>
          <w:rFonts w:asciiTheme="minorEastAsia" w:hAnsiTheme="minorEastAsia" w:eastAsiaTheme="minorEastAsia"/>
          <w:b/>
          <w:bCs/>
          <w:kern w:val="0"/>
          <w:sz w:val="28"/>
          <w:szCs w:val="28"/>
        </w:rPr>
      </w:pPr>
    </w:p>
    <w:p>
      <w:pPr>
        <w:jc w:val="left"/>
        <w:rPr>
          <w:rFonts w:asciiTheme="minorEastAsia" w:hAnsiTheme="minorEastAsia" w:eastAsiaTheme="minorEastAsia"/>
          <w:b/>
          <w:bCs/>
          <w:kern w:val="0"/>
          <w:sz w:val="28"/>
          <w:szCs w:val="28"/>
        </w:rPr>
      </w:pPr>
    </w:p>
    <w:p>
      <w:pPr>
        <w:jc w:val="left"/>
        <w:rPr>
          <w:rFonts w:asciiTheme="minorEastAsia" w:hAnsiTheme="minorEastAsia" w:eastAsiaTheme="minorEastAsia"/>
          <w:b/>
          <w:bCs/>
          <w:kern w:val="0"/>
          <w:sz w:val="28"/>
          <w:szCs w:val="28"/>
        </w:rPr>
      </w:pPr>
    </w:p>
    <w:p>
      <w:pPr>
        <w:jc w:val="left"/>
        <w:rPr>
          <w:rFonts w:asciiTheme="minorEastAsia" w:hAnsiTheme="minorEastAsia" w:eastAsiaTheme="minorEastAsia"/>
          <w:b/>
          <w:bCs/>
          <w:kern w:val="0"/>
          <w:sz w:val="28"/>
          <w:szCs w:val="28"/>
        </w:rPr>
      </w:pPr>
    </w:p>
    <w:p>
      <w:pPr>
        <w:pStyle w:val="35"/>
        <w:rPr>
          <w:rFonts w:asciiTheme="minorEastAsia" w:hAnsiTheme="minorEastAsia" w:eastAsiaTheme="minorEastAsia"/>
          <w:szCs w:val="32"/>
        </w:rPr>
      </w:pPr>
      <w:bookmarkStart w:id="11" w:name="_Toc178419005"/>
      <w:bookmarkStart w:id="12" w:name="_Toc307839279"/>
      <w:bookmarkStart w:id="13" w:name="_Toc1544815"/>
      <w:r>
        <w:rPr>
          <w:rFonts w:hint="eastAsia" w:asciiTheme="minorEastAsia" w:hAnsiTheme="minorEastAsia" w:eastAsiaTheme="minorEastAsia"/>
          <w:szCs w:val="32"/>
        </w:rPr>
        <w:t>第四章  技术规格及要求</w:t>
      </w:r>
      <w:bookmarkEnd w:id="11"/>
      <w:bookmarkEnd w:id="12"/>
    </w:p>
    <w:p>
      <w:pPr>
        <w:pStyle w:val="103"/>
        <w:spacing w:line="460" w:lineRule="exact"/>
        <w:ind w:left="3511" w:leftChars="1672" w:right="3805"/>
        <w:rPr>
          <w:b w:val="0"/>
          <w:bCs w:val="0"/>
          <w:sz w:val="32"/>
          <w:szCs w:val="32"/>
        </w:rPr>
      </w:pPr>
      <w:r>
        <w:rPr>
          <w:spacing w:val="1"/>
          <w:sz w:val="32"/>
          <w:szCs w:val="32"/>
        </w:rPr>
        <w:t>中间包覆盖剂</w:t>
      </w:r>
      <w:r>
        <w:rPr>
          <w:rFonts w:hint="eastAsia"/>
          <w:spacing w:val="1"/>
          <w:sz w:val="32"/>
          <w:szCs w:val="32"/>
        </w:rPr>
        <w:t>HYYJ035-2021a</w:t>
      </w:r>
    </w:p>
    <w:p>
      <w:pPr>
        <w:spacing w:line="500" w:lineRule="exact"/>
        <w:ind w:left="843" w:hanging="843" w:hangingChars="300"/>
        <w:rPr>
          <w:b/>
          <w:sz w:val="28"/>
          <w:szCs w:val="28"/>
        </w:rPr>
      </w:pPr>
      <w:r>
        <w:rPr>
          <w:rFonts w:hint="eastAsia"/>
          <w:b/>
          <w:sz w:val="28"/>
          <w:szCs w:val="28"/>
        </w:rPr>
        <w:t>1.范围</w:t>
      </w:r>
    </w:p>
    <w:p>
      <w:pPr>
        <w:pStyle w:val="15"/>
        <w:spacing w:before="154" w:line="335" w:lineRule="auto"/>
        <w:ind w:firstLine="480"/>
      </w:pPr>
      <w:r>
        <w:rPr>
          <w:spacing w:val="-2"/>
        </w:rPr>
        <w:t>本规范规定了中间包覆盖剂的技术要求、试验方法、检验规则、包装、储运、标志和质</w:t>
      </w:r>
      <w:r>
        <w:t>量证明书。</w:t>
      </w:r>
    </w:p>
    <w:p>
      <w:pPr>
        <w:pStyle w:val="15"/>
        <w:spacing w:before="32"/>
        <w:ind w:left="628"/>
      </w:pPr>
      <w:r>
        <w:t>本规范适用于弧形连铸中间包用中间包覆盖剂。</w:t>
      </w:r>
    </w:p>
    <w:p>
      <w:pPr>
        <w:spacing w:before="65" w:line="348" w:lineRule="auto"/>
        <w:ind w:left="629" w:hanging="482"/>
        <w:rPr>
          <w:rFonts w:ascii="宋体" w:hAnsi="宋体" w:cs="宋体"/>
          <w:b/>
          <w:bCs/>
          <w:spacing w:val="26"/>
          <w:w w:val="99"/>
          <w:sz w:val="24"/>
        </w:rPr>
      </w:pPr>
      <w:r>
        <w:rPr>
          <w:rFonts w:eastAsia="Calibri" w:cs="Calibri"/>
          <w:b/>
          <w:bCs/>
          <w:sz w:val="24"/>
        </w:rPr>
        <w:t>2</w:t>
      </w:r>
      <w:r>
        <w:rPr>
          <w:rFonts w:ascii="宋体" w:hAnsi="宋体" w:cs="宋体"/>
          <w:b/>
          <w:bCs/>
          <w:sz w:val="24"/>
        </w:rPr>
        <w:t>规范性引用文件</w:t>
      </w:r>
    </w:p>
    <w:p>
      <w:pPr>
        <w:spacing w:before="185" w:line="347" w:lineRule="auto"/>
        <w:ind w:firstLine="660"/>
      </w:pPr>
      <w:r>
        <w:rPr>
          <w:rFonts w:ascii="宋体" w:hAnsi="宋体" w:cs="宋体"/>
          <w:sz w:val="24"/>
        </w:rPr>
        <w:t>下列文件对本文件的应用是必不可少的</w:t>
      </w:r>
      <w:r>
        <w:rPr>
          <w:rFonts w:ascii="宋体" w:hAnsi="宋体" w:cs="宋体"/>
          <w:spacing w:val="-39"/>
          <w:sz w:val="24"/>
        </w:rPr>
        <w:t>。</w:t>
      </w:r>
      <w:r>
        <w:rPr>
          <w:rFonts w:ascii="宋体" w:hAnsi="宋体" w:cs="宋体"/>
          <w:sz w:val="24"/>
        </w:rPr>
        <w:t>凡是注日期的引用文件</w:t>
      </w:r>
      <w:r>
        <w:rPr>
          <w:rFonts w:ascii="宋体" w:hAnsi="宋体" w:cs="宋体"/>
          <w:spacing w:val="-39"/>
          <w:sz w:val="24"/>
        </w:rPr>
        <w:t>，</w:t>
      </w:r>
      <w:r>
        <w:rPr>
          <w:rFonts w:ascii="宋体" w:hAnsi="宋体" w:cs="宋体"/>
          <w:sz w:val="24"/>
        </w:rPr>
        <w:t>仅注日期的版本适用</w:t>
      </w:r>
      <w:r>
        <w:t>于本文件。凡是不注日期的引用文件，其最新版本（包括所有的修改单）适用于本文件。</w:t>
      </w:r>
    </w:p>
    <w:p>
      <w:pPr>
        <w:pStyle w:val="15"/>
        <w:tabs>
          <w:tab w:val="left" w:pos="1845"/>
          <w:tab w:val="left" w:pos="3043"/>
        </w:tabs>
        <w:spacing w:before="125"/>
        <w:ind w:left="585"/>
      </w:pPr>
      <w:r>
        <w:rPr>
          <w:rFonts w:ascii="Calibri" w:hAnsi="Calibri" w:eastAsia="Calibri" w:cs="Calibri"/>
          <w:spacing w:val="-1"/>
        </w:rPr>
        <w:t>GB/T3007</w:t>
      </w:r>
      <w:r>
        <w:rPr>
          <w:rFonts w:ascii="Calibri" w:hAnsi="Calibri" w:eastAsia="Calibri" w:cs="Calibri"/>
          <w:spacing w:val="-1"/>
        </w:rPr>
        <w:tab/>
      </w:r>
      <w:r>
        <w:t>耐火材料</w:t>
      </w:r>
      <w:r>
        <w:tab/>
      </w:r>
      <w:r>
        <w:t>含水量试验方法</w:t>
      </w:r>
    </w:p>
    <w:p>
      <w:pPr>
        <w:pStyle w:val="15"/>
        <w:tabs>
          <w:tab w:val="left" w:pos="1859"/>
        </w:tabs>
        <w:ind w:left="585"/>
      </w:pPr>
      <w:r>
        <w:rPr>
          <w:rFonts w:ascii="Calibri" w:hAnsi="Calibri" w:eastAsia="Calibri" w:cs="Calibri"/>
          <w:spacing w:val="-1"/>
        </w:rPr>
        <w:t>GB/T5069</w:t>
      </w:r>
      <w:r>
        <w:rPr>
          <w:rFonts w:ascii="Calibri" w:hAnsi="Calibri" w:eastAsia="Calibri" w:cs="Calibri"/>
          <w:spacing w:val="-1"/>
        </w:rPr>
        <w:tab/>
      </w:r>
      <w:r>
        <w:rPr>
          <w:spacing w:val="-1"/>
        </w:rPr>
        <w:t>镁铝系耐火材料化学分析方法</w:t>
      </w:r>
    </w:p>
    <w:p>
      <w:pPr>
        <w:pStyle w:val="15"/>
        <w:tabs>
          <w:tab w:val="left" w:pos="1972"/>
          <w:tab w:val="left" w:pos="5090"/>
        </w:tabs>
        <w:spacing w:before="97"/>
        <w:ind w:left="585"/>
      </w:pPr>
      <w:r>
        <w:rPr>
          <w:rFonts w:ascii="Calibri" w:hAnsi="Calibri" w:eastAsia="Calibri" w:cs="Calibri"/>
          <w:spacing w:val="-1"/>
        </w:rPr>
        <w:t>GB/T</w:t>
      </w:r>
      <w:r>
        <w:rPr>
          <w:rFonts w:ascii="Calibri" w:hAnsi="Calibri" w:eastAsia="Calibri" w:cs="Calibri"/>
          <w:spacing w:val="-3"/>
        </w:rPr>
        <w:t>17617</w:t>
      </w:r>
      <w:r>
        <w:rPr>
          <w:spacing w:val="-1"/>
        </w:rPr>
        <w:t>耐火原料和不定形耐火材料</w:t>
      </w:r>
      <w:r>
        <w:rPr>
          <w:spacing w:val="-1"/>
        </w:rPr>
        <w:tab/>
      </w:r>
      <w:r>
        <w:t>取样</w:t>
      </w:r>
    </w:p>
    <w:p>
      <w:pPr>
        <w:pStyle w:val="15"/>
        <w:tabs>
          <w:tab w:val="left" w:pos="1746"/>
        </w:tabs>
        <w:ind w:left="628"/>
      </w:pPr>
      <w:r>
        <w:rPr>
          <w:rFonts w:ascii="Calibri" w:hAnsi="Calibri" w:eastAsia="Calibri" w:cs="Calibri"/>
          <w:spacing w:val="-1"/>
        </w:rPr>
        <w:t>YB/T186</w:t>
      </w:r>
      <w:r>
        <w:rPr>
          <w:rFonts w:ascii="Calibri" w:hAnsi="Calibri" w:eastAsia="Calibri" w:cs="Calibri"/>
          <w:spacing w:val="-1"/>
        </w:rPr>
        <w:tab/>
      </w:r>
      <w:r>
        <w:rPr>
          <w:spacing w:val="-1"/>
        </w:rPr>
        <w:t>连铸保护渣熔化温度试验方法</w:t>
      </w:r>
    </w:p>
    <w:p>
      <w:pPr>
        <w:pStyle w:val="15"/>
        <w:tabs>
          <w:tab w:val="left" w:pos="1741"/>
        </w:tabs>
        <w:ind w:left="628"/>
      </w:pPr>
      <w:r>
        <w:rPr>
          <w:rFonts w:ascii="Calibri" w:hAnsi="Calibri" w:eastAsia="Calibri" w:cs="Calibri"/>
          <w:spacing w:val="-1"/>
        </w:rPr>
        <w:t>YB/T</w:t>
      </w:r>
      <w:r>
        <w:rPr>
          <w:rFonts w:ascii="Calibri" w:hAnsi="Calibri" w:eastAsia="Calibri" w:cs="Calibri"/>
          <w:spacing w:val="-2"/>
        </w:rPr>
        <w:t>187</w:t>
      </w:r>
      <w:r>
        <w:rPr>
          <w:rFonts w:ascii="Calibri" w:hAnsi="Calibri" w:eastAsia="Calibri" w:cs="Calibri"/>
          <w:spacing w:val="-2"/>
        </w:rPr>
        <w:tab/>
      </w:r>
      <w:r>
        <w:t>连铸保护渣堆积密度试验方法</w:t>
      </w:r>
    </w:p>
    <w:p>
      <w:pPr>
        <w:pStyle w:val="15"/>
        <w:tabs>
          <w:tab w:val="left" w:pos="1746"/>
        </w:tabs>
        <w:spacing w:before="97"/>
        <w:ind w:left="628"/>
      </w:pPr>
      <w:r>
        <w:rPr>
          <w:rFonts w:ascii="Calibri" w:hAnsi="Calibri" w:eastAsia="Calibri" w:cs="Calibri"/>
          <w:spacing w:val="-1"/>
        </w:rPr>
        <w:t>YB/T188</w:t>
      </w:r>
      <w:r>
        <w:rPr>
          <w:rFonts w:ascii="Calibri" w:hAnsi="Calibri" w:eastAsia="Calibri" w:cs="Calibri"/>
          <w:spacing w:val="-1"/>
        </w:rPr>
        <w:tab/>
      </w:r>
      <w:r>
        <w:rPr>
          <w:spacing w:val="-1"/>
        </w:rPr>
        <w:t>连铸保护渣粒度分布试验方法</w:t>
      </w:r>
    </w:p>
    <w:p>
      <w:pPr>
        <w:pStyle w:val="15"/>
        <w:tabs>
          <w:tab w:val="left" w:pos="1746"/>
        </w:tabs>
        <w:ind w:left="628"/>
      </w:pPr>
      <w:r>
        <w:rPr>
          <w:rFonts w:ascii="Calibri" w:hAnsi="Calibri" w:eastAsia="Calibri" w:cs="Calibri"/>
          <w:spacing w:val="-1"/>
        </w:rPr>
        <w:t>YB/T190</w:t>
      </w:r>
      <w:r>
        <w:rPr>
          <w:rFonts w:ascii="Calibri" w:hAnsi="Calibri" w:eastAsia="Calibri" w:cs="Calibri"/>
          <w:spacing w:val="-1"/>
        </w:rPr>
        <w:tab/>
      </w:r>
      <w:r>
        <w:rPr>
          <w:spacing w:val="-1"/>
        </w:rPr>
        <w:t>连铸保护渣化学分析方法</w:t>
      </w:r>
    </w:p>
    <w:p>
      <w:pPr>
        <w:pStyle w:val="104"/>
        <w:spacing w:before="155"/>
        <w:rPr>
          <w:b w:val="0"/>
          <w:bCs w:val="0"/>
        </w:rPr>
      </w:pPr>
      <w:r>
        <w:rPr>
          <w:rFonts w:ascii="Calibri" w:hAnsi="Calibri" w:eastAsia="Calibri" w:cs="Calibri"/>
        </w:rPr>
        <w:t xml:space="preserve">3 </w:t>
      </w:r>
      <w:r>
        <w:t>技术要求</w:t>
      </w:r>
    </w:p>
    <w:p>
      <w:pPr>
        <w:pStyle w:val="15"/>
        <w:spacing w:before="157" w:line="360" w:lineRule="auto"/>
        <w:ind w:left="148"/>
        <w:jc w:val="left"/>
      </w:pPr>
      <w:r>
        <w:rPr>
          <w:rFonts w:ascii="Calibri" w:hAnsi="Calibri" w:eastAsia="Calibri" w:cs="Calibri"/>
        </w:rPr>
        <w:t>3.1</w:t>
      </w:r>
      <w:r>
        <w:rPr>
          <w:spacing w:val="-1"/>
        </w:rPr>
        <w:t>中间包覆盖剂的类别及理化指标应符合表</w:t>
      </w:r>
      <w:r>
        <w:rPr>
          <w:rFonts w:ascii="Calibri" w:hAnsi="Calibri" w:eastAsia="Calibri" w:cs="Calibri"/>
        </w:rPr>
        <w:t>1</w:t>
      </w:r>
      <w:r>
        <w:t>规定</w:t>
      </w:r>
      <w:r>
        <w:rPr>
          <w:rFonts w:hint="eastAsia"/>
        </w:rPr>
        <w:t>。</w:t>
      </w:r>
    </w:p>
    <w:p>
      <w:pPr>
        <w:spacing w:before="129"/>
        <w:ind w:left="3804" w:right="3804"/>
        <w:jc w:val="center"/>
        <w:rPr>
          <w:rFonts w:eastAsia="Calibri" w:cs="Calibri"/>
          <w:szCs w:val="21"/>
        </w:rPr>
      </w:pPr>
      <w:r>
        <w:rPr>
          <w:rFonts w:ascii="黑体" w:hAnsi="黑体" w:eastAsia="黑体" w:cs="黑体"/>
          <w:szCs w:val="21"/>
        </w:rPr>
        <w:t>表</w:t>
      </w:r>
      <w:r>
        <w:rPr>
          <w:rFonts w:eastAsia="Calibri" w:cs="Calibri"/>
          <w:szCs w:val="21"/>
        </w:rPr>
        <w:t>1</w:t>
      </w:r>
    </w:p>
    <w:p>
      <w:pPr>
        <w:spacing w:before="5"/>
        <w:rPr>
          <w:rFonts w:eastAsia="Calibri" w:cs="Calibri"/>
          <w:sz w:val="2"/>
          <w:szCs w:val="2"/>
        </w:rPr>
      </w:pPr>
    </w:p>
    <w:tbl>
      <w:tblPr>
        <w:tblStyle w:val="37"/>
        <w:tblW w:w="9235" w:type="dxa"/>
        <w:jc w:val="center"/>
        <w:tblLayout w:type="fixed"/>
        <w:tblCellMar>
          <w:top w:w="0" w:type="dxa"/>
          <w:left w:w="0" w:type="dxa"/>
          <w:bottom w:w="0" w:type="dxa"/>
          <w:right w:w="0" w:type="dxa"/>
        </w:tblCellMar>
      </w:tblPr>
      <w:tblGrid>
        <w:gridCol w:w="1694"/>
        <w:gridCol w:w="807"/>
        <w:gridCol w:w="751"/>
        <w:gridCol w:w="761"/>
        <w:gridCol w:w="749"/>
        <w:gridCol w:w="706"/>
        <w:gridCol w:w="643"/>
        <w:gridCol w:w="701"/>
        <w:gridCol w:w="1246"/>
        <w:gridCol w:w="1177"/>
      </w:tblGrid>
      <w:tr>
        <w:trPr>
          <w:trHeight w:val="309" w:hRule="exact"/>
          <w:jc w:val="center"/>
        </w:trPr>
        <w:tc>
          <w:tcPr>
            <w:tcW w:w="1694" w:type="dxa"/>
            <w:vMerge w:val="restart"/>
            <w:tcBorders>
              <w:top w:val="single" w:color="000000" w:sz="4" w:space="0"/>
              <w:left w:val="single" w:color="000000" w:sz="4" w:space="0"/>
              <w:right w:val="single" w:color="000000" w:sz="4" w:space="0"/>
            </w:tcBorders>
            <w:noWrap/>
          </w:tcPr>
          <w:p>
            <w:pPr>
              <w:pStyle w:val="105"/>
              <w:spacing w:before="6"/>
              <w:rPr>
                <w:rFonts w:eastAsia="Calibri" w:cs="Calibri"/>
                <w:sz w:val="24"/>
              </w:rPr>
            </w:pPr>
          </w:p>
          <w:p>
            <w:pPr>
              <w:pStyle w:val="105"/>
              <w:ind w:right="2"/>
              <w:jc w:val="center"/>
              <w:rPr>
                <w:rFonts w:ascii="宋体" w:hAnsi="宋体" w:cs="宋体"/>
                <w:szCs w:val="21"/>
              </w:rPr>
            </w:pPr>
            <w:r>
              <w:rPr>
                <w:rFonts w:ascii="宋体" w:hAnsi="宋体" w:cs="宋体"/>
                <w:szCs w:val="21"/>
              </w:rPr>
              <w:t>类别</w:t>
            </w:r>
          </w:p>
        </w:tc>
        <w:tc>
          <w:tcPr>
            <w:tcW w:w="4417" w:type="dxa"/>
            <w:gridSpan w:val="6"/>
            <w:tcBorders>
              <w:top w:val="single" w:color="000000" w:sz="4" w:space="0"/>
              <w:left w:val="single" w:color="000000" w:sz="4" w:space="0"/>
              <w:bottom w:val="single" w:color="000000" w:sz="4" w:space="0"/>
              <w:right w:val="single" w:color="000000" w:sz="4" w:space="0"/>
            </w:tcBorders>
            <w:noWrap/>
          </w:tcPr>
          <w:p>
            <w:pPr>
              <w:pStyle w:val="105"/>
              <w:spacing w:before="5"/>
              <w:jc w:val="center"/>
              <w:rPr>
                <w:rFonts w:eastAsia="Calibri" w:cs="Calibri"/>
                <w:szCs w:val="21"/>
              </w:rPr>
            </w:pPr>
            <w:r>
              <w:rPr>
                <w:rFonts w:ascii="宋体" w:hAnsi="宋体" w:cs="宋体"/>
                <w:spacing w:val="-1"/>
                <w:szCs w:val="21"/>
              </w:rPr>
              <w:t>化学成分，</w:t>
            </w:r>
            <w:r>
              <w:rPr>
                <w:rFonts w:eastAsia="Calibri" w:cs="Calibri"/>
                <w:spacing w:val="-1"/>
                <w:szCs w:val="21"/>
              </w:rPr>
              <w:t>%</w:t>
            </w:r>
          </w:p>
        </w:tc>
        <w:tc>
          <w:tcPr>
            <w:tcW w:w="701" w:type="dxa"/>
            <w:vMerge w:val="restart"/>
            <w:tcBorders>
              <w:top w:val="single" w:color="000000" w:sz="4" w:space="0"/>
              <w:left w:val="single" w:color="000000" w:sz="4" w:space="0"/>
              <w:right w:val="single" w:color="000000" w:sz="4" w:space="0"/>
            </w:tcBorders>
            <w:noWrap/>
            <w:vAlign w:val="center"/>
          </w:tcPr>
          <w:p>
            <w:pPr>
              <w:pStyle w:val="105"/>
              <w:spacing w:before="183"/>
              <w:jc w:val="center"/>
              <w:rPr>
                <w:rFonts w:eastAsia="Calibri" w:cs="Calibri"/>
                <w:szCs w:val="21"/>
              </w:rPr>
            </w:pPr>
            <w:r>
              <w:rPr>
                <w:spacing w:val="-1"/>
              </w:rPr>
              <w:t>H</w:t>
            </w:r>
            <w:r>
              <w:rPr>
                <w:spacing w:val="-1"/>
                <w:position w:val="-2"/>
                <w:sz w:val="14"/>
              </w:rPr>
              <w:t>2</w:t>
            </w:r>
            <w:r>
              <w:rPr>
                <w:spacing w:val="-1"/>
              </w:rPr>
              <w:t>O</w:t>
            </w:r>
          </w:p>
          <w:p>
            <w:pPr>
              <w:pStyle w:val="105"/>
              <w:spacing w:before="44"/>
              <w:jc w:val="center"/>
              <w:rPr>
                <w:rFonts w:eastAsia="Calibri" w:cs="Calibri"/>
                <w:szCs w:val="21"/>
              </w:rPr>
            </w:pPr>
            <w:r>
              <w:t>%</w:t>
            </w:r>
          </w:p>
        </w:tc>
        <w:tc>
          <w:tcPr>
            <w:tcW w:w="1246" w:type="dxa"/>
            <w:vMerge w:val="restart"/>
            <w:tcBorders>
              <w:top w:val="single" w:color="000000" w:sz="4" w:space="0"/>
              <w:left w:val="single" w:color="000000" w:sz="4" w:space="0"/>
              <w:right w:val="single" w:color="000000" w:sz="4" w:space="0"/>
            </w:tcBorders>
            <w:noWrap/>
            <w:vAlign w:val="center"/>
          </w:tcPr>
          <w:p>
            <w:pPr>
              <w:pStyle w:val="105"/>
              <w:spacing w:line="261" w:lineRule="exact"/>
              <w:ind w:right="1"/>
              <w:jc w:val="center"/>
              <w:rPr>
                <w:rFonts w:ascii="宋体" w:hAnsi="宋体" w:cs="宋体"/>
                <w:szCs w:val="21"/>
              </w:rPr>
            </w:pPr>
            <w:r>
              <w:rPr>
                <w:rFonts w:ascii="宋体" w:hAnsi="宋体" w:cs="宋体"/>
                <w:szCs w:val="21"/>
              </w:rPr>
              <w:t>熔化温度</w:t>
            </w:r>
          </w:p>
          <w:p>
            <w:pPr>
              <w:pStyle w:val="105"/>
              <w:spacing w:before="37"/>
              <w:ind w:right="4"/>
              <w:jc w:val="center"/>
              <w:rPr>
                <w:rFonts w:ascii="宋体" w:hAnsi="宋体" w:cs="宋体"/>
                <w:szCs w:val="21"/>
              </w:rPr>
            </w:pPr>
            <w:r>
              <w:rPr>
                <w:rFonts w:ascii="宋体" w:hAnsi="宋体" w:cs="宋体"/>
                <w:szCs w:val="21"/>
              </w:rPr>
              <w:t>℃</w:t>
            </w:r>
          </w:p>
        </w:tc>
        <w:tc>
          <w:tcPr>
            <w:tcW w:w="1177" w:type="dxa"/>
            <w:vMerge w:val="restart"/>
            <w:tcBorders>
              <w:top w:val="single" w:color="000000" w:sz="4" w:space="0"/>
              <w:left w:val="single" w:color="000000" w:sz="4" w:space="0"/>
              <w:right w:val="single" w:color="000000" w:sz="4" w:space="0"/>
            </w:tcBorders>
            <w:noWrap/>
            <w:vAlign w:val="center"/>
          </w:tcPr>
          <w:p>
            <w:pPr>
              <w:pStyle w:val="105"/>
              <w:spacing w:line="261" w:lineRule="exact"/>
              <w:ind w:left="171"/>
              <w:jc w:val="center"/>
              <w:rPr>
                <w:rFonts w:ascii="宋体" w:hAnsi="宋体" w:cs="宋体"/>
                <w:szCs w:val="21"/>
              </w:rPr>
            </w:pPr>
            <w:r>
              <w:rPr>
                <w:rFonts w:ascii="宋体" w:hAnsi="宋体" w:cs="宋体"/>
                <w:szCs w:val="21"/>
              </w:rPr>
              <w:t>堆积密度</w:t>
            </w:r>
          </w:p>
          <w:p>
            <w:pPr>
              <w:pStyle w:val="105"/>
              <w:spacing w:before="44"/>
              <w:ind w:left="126"/>
              <w:jc w:val="center"/>
              <w:rPr>
                <w:rFonts w:eastAsia="Calibri" w:cs="Calibri"/>
                <w:sz w:val="14"/>
                <w:szCs w:val="14"/>
              </w:rPr>
            </w:pPr>
            <w:r>
              <w:rPr>
                <w:spacing w:val="-1"/>
              </w:rPr>
              <w:t>g/cm</w:t>
            </w:r>
            <w:r>
              <w:rPr>
                <w:spacing w:val="-1"/>
                <w:position w:val="10"/>
                <w:sz w:val="14"/>
              </w:rPr>
              <w:t>3</w:t>
            </w:r>
          </w:p>
        </w:tc>
      </w:tr>
      <w:tr>
        <w:tblPrEx>
          <w:tblCellMar>
            <w:top w:w="0" w:type="dxa"/>
            <w:left w:w="0" w:type="dxa"/>
            <w:bottom w:w="0" w:type="dxa"/>
            <w:right w:w="0" w:type="dxa"/>
          </w:tblCellMar>
        </w:tblPrEx>
        <w:trPr>
          <w:trHeight w:val="429" w:hRule="exact"/>
          <w:jc w:val="center"/>
        </w:trPr>
        <w:tc>
          <w:tcPr>
            <w:tcW w:w="1694" w:type="dxa"/>
            <w:vMerge w:val="continue"/>
            <w:tcBorders>
              <w:left w:val="single" w:color="000000" w:sz="4" w:space="0"/>
              <w:bottom w:val="single" w:color="000000" w:sz="4" w:space="0"/>
              <w:right w:val="single" w:color="000000" w:sz="4" w:space="0"/>
            </w:tcBorders>
            <w:noWrap/>
          </w:tcPr>
          <w:p/>
        </w:tc>
        <w:tc>
          <w:tcPr>
            <w:tcW w:w="807"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218"/>
              <w:jc w:val="center"/>
              <w:rPr>
                <w:rFonts w:eastAsia="Calibri" w:cs="Calibri"/>
                <w:szCs w:val="21"/>
              </w:rPr>
            </w:pPr>
            <w:r>
              <w:rPr>
                <w:spacing w:val="-1"/>
              </w:rPr>
              <w:t>CaO</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190"/>
              <w:jc w:val="center"/>
              <w:rPr>
                <w:rFonts w:eastAsia="Calibri" w:cs="Calibri"/>
                <w:sz w:val="14"/>
                <w:szCs w:val="14"/>
              </w:rPr>
            </w:pPr>
            <w:r>
              <w:rPr>
                <w:spacing w:val="-1"/>
              </w:rPr>
              <w:t>SiO</w:t>
            </w:r>
            <w:r>
              <w:rPr>
                <w:spacing w:val="-1"/>
                <w:position w:val="-2"/>
                <w:sz w:val="14"/>
              </w:rPr>
              <w:t>2</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147"/>
              <w:jc w:val="center"/>
              <w:rPr>
                <w:rFonts w:eastAsia="Calibri" w:cs="Calibri"/>
                <w:sz w:val="14"/>
                <w:szCs w:val="14"/>
              </w:rPr>
            </w:pPr>
            <w:r>
              <w:rPr>
                <w:spacing w:val="-1"/>
              </w:rPr>
              <w:t>Al</w:t>
            </w:r>
            <w:r>
              <w:rPr>
                <w:spacing w:val="-1"/>
                <w:position w:val="-2"/>
                <w:sz w:val="14"/>
              </w:rPr>
              <w:t>2</w:t>
            </w:r>
            <w:r>
              <w:rPr>
                <w:spacing w:val="-1"/>
              </w:rPr>
              <w:t>O</w:t>
            </w:r>
            <w:r>
              <w:rPr>
                <w:spacing w:val="-1"/>
                <w:position w:val="-2"/>
                <w:sz w:val="14"/>
              </w:rPr>
              <w:t>3</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159"/>
              <w:jc w:val="center"/>
              <w:rPr>
                <w:rFonts w:eastAsia="Calibri" w:cs="Calibri"/>
                <w:szCs w:val="21"/>
              </w:rPr>
            </w:pPr>
            <w:r>
              <w:rPr>
                <w:spacing w:val="-1"/>
              </w:rPr>
              <w:t>MgO</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104"/>
              <w:jc w:val="center"/>
              <w:rPr>
                <w:rFonts w:eastAsia="Calibri" w:cs="Calibri"/>
                <w:sz w:val="14"/>
                <w:szCs w:val="14"/>
              </w:rPr>
            </w:pPr>
            <w:r>
              <w:rPr>
                <w:spacing w:val="-2"/>
              </w:rPr>
              <w:t>Fe</w:t>
            </w:r>
            <w:r>
              <w:rPr>
                <w:spacing w:val="-2"/>
                <w:position w:val="-2"/>
                <w:sz w:val="14"/>
              </w:rPr>
              <w:t>2</w:t>
            </w:r>
            <w:r>
              <w:rPr>
                <w:spacing w:val="-2"/>
              </w:rPr>
              <w:t>O</w:t>
            </w:r>
            <w:r>
              <w:rPr>
                <w:spacing w:val="-2"/>
                <w:position w:val="-2"/>
                <w:sz w:val="14"/>
              </w:rPr>
              <w:t>3</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jc w:val="center"/>
              <w:rPr>
                <w:rFonts w:eastAsia="Calibri" w:cs="Calibri"/>
                <w:szCs w:val="21"/>
              </w:rPr>
            </w:pPr>
            <w:r>
              <w:t>C</w:t>
            </w:r>
          </w:p>
        </w:tc>
        <w:tc>
          <w:tcPr>
            <w:tcW w:w="701" w:type="dxa"/>
            <w:vMerge w:val="continue"/>
            <w:tcBorders>
              <w:left w:val="single" w:color="000000" w:sz="4" w:space="0"/>
              <w:bottom w:val="single" w:color="000000" w:sz="4" w:space="0"/>
              <w:right w:val="single" w:color="000000" w:sz="4" w:space="0"/>
            </w:tcBorders>
            <w:noWrap/>
          </w:tcPr>
          <w:p/>
        </w:tc>
        <w:tc>
          <w:tcPr>
            <w:tcW w:w="1246" w:type="dxa"/>
            <w:vMerge w:val="continue"/>
            <w:tcBorders>
              <w:left w:val="single" w:color="000000" w:sz="4" w:space="0"/>
              <w:bottom w:val="single" w:color="000000" w:sz="4" w:space="0"/>
              <w:right w:val="single" w:color="000000" w:sz="4" w:space="0"/>
            </w:tcBorders>
            <w:noWrap/>
          </w:tcPr>
          <w:p/>
        </w:tc>
        <w:tc>
          <w:tcPr>
            <w:tcW w:w="1177" w:type="dxa"/>
            <w:vMerge w:val="continue"/>
            <w:tcBorders>
              <w:left w:val="single" w:color="000000" w:sz="4" w:space="0"/>
              <w:bottom w:val="single" w:color="000000" w:sz="4" w:space="0"/>
              <w:right w:val="single" w:color="000000" w:sz="4" w:space="0"/>
            </w:tcBorders>
            <w:noWrap/>
          </w:tcPr>
          <w:p/>
        </w:tc>
      </w:tr>
      <w:tr>
        <w:tblPrEx>
          <w:tblCellMar>
            <w:top w:w="0" w:type="dxa"/>
            <w:left w:w="0" w:type="dxa"/>
            <w:bottom w:w="0" w:type="dxa"/>
            <w:right w:w="0" w:type="dxa"/>
          </w:tblCellMar>
        </w:tblPrEx>
        <w:trPr>
          <w:trHeight w:val="441" w:hRule="exact"/>
          <w:jc w:val="center"/>
        </w:trPr>
        <w:tc>
          <w:tcPr>
            <w:tcW w:w="1694" w:type="dxa"/>
            <w:tcBorders>
              <w:top w:val="single" w:color="000000" w:sz="4" w:space="0"/>
              <w:left w:val="single" w:color="000000" w:sz="4" w:space="0"/>
              <w:bottom w:val="single" w:color="000000" w:sz="4" w:space="0"/>
              <w:right w:val="single" w:color="000000" w:sz="4" w:space="0"/>
            </w:tcBorders>
            <w:noWrap/>
            <w:vAlign w:val="center"/>
          </w:tcPr>
          <w:p>
            <w:pPr>
              <w:pStyle w:val="105"/>
              <w:spacing w:before="3"/>
              <w:ind w:left="102"/>
              <w:jc w:val="center"/>
              <w:rPr>
                <w:rFonts w:ascii="宋体" w:hAnsi="宋体" w:cs="宋体"/>
                <w:spacing w:val="-1"/>
                <w:szCs w:val="21"/>
              </w:rPr>
            </w:pPr>
            <w:r>
              <w:rPr>
                <w:rFonts w:hint="eastAsia" w:ascii="宋体" w:hAnsi="宋体" w:cs="宋体"/>
                <w:color w:val="000000"/>
                <w:spacing w:val="-1"/>
                <w:szCs w:val="21"/>
              </w:rPr>
              <w:t>高碱度覆盖剂</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4</w:t>
            </w:r>
            <w:r>
              <w:rPr>
                <w:rFonts w:hint="eastAsia"/>
                <w:color w:val="000000"/>
                <w:kern w:val="0"/>
                <w:szCs w:val="21"/>
              </w:rPr>
              <w:t>3</w:t>
            </w:r>
            <w:r>
              <w:rPr>
                <w:color w:val="000000"/>
                <w:kern w:val="0"/>
                <w:szCs w:val="21"/>
              </w:rPr>
              <w:t>~5</w:t>
            </w:r>
            <w:r>
              <w:rPr>
                <w:rFonts w:hint="eastAsia"/>
                <w:color w:val="000000"/>
                <w:kern w:val="0"/>
                <w:szCs w:val="21"/>
              </w:rPr>
              <w:t>3</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w:t>
            </w:r>
            <w:r>
              <w:rPr>
                <w:rFonts w:hint="eastAsia"/>
                <w:color w:val="000000"/>
                <w:kern w:val="0"/>
                <w:szCs w:val="21"/>
              </w:rPr>
              <w:t>5</w:t>
            </w:r>
            <w:r>
              <w:rPr>
                <w:color w:val="000000"/>
                <w:kern w:val="0"/>
                <w:szCs w:val="21"/>
              </w:rPr>
              <w:t>.0</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35~45</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szCs w:val="21"/>
              </w:rPr>
              <w:t>≤5.0</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w:t>
            </w:r>
            <w:r>
              <w:rPr>
                <w:rFonts w:hint="eastAsia"/>
                <w:color w:val="000000"/>
                <w:kern w:val="0"/>
                <w:szCs w:val="21"/>
              </w:rPr>
              <w:t>1.5</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szCs w:val="21"/>
              </w:rPr>
              <w:t>≤</w:t>
            </w:r>
            <w:r>
              <w:rPr>
                <w:rFonts w:hint="eastAsia"/>
                <w:szCs w:val="21"/>
              </w:rPr>
              <w:t>3</w:t>
            </w:r>
            <w:r>
              <w:rPr>
                <w:szCs w:val="21"/>
              </w:rPr>
              <w:t>.0</w:t>
            </w:r>
          </w:p>
        </w:tc>
        <w:tc>
          <w:tcPr>
            <w:tcW w:w="701" w:type="dxa"/>
            <w:tcBorders>
              <w:top w:val="single" w:color="000000" w:sz="4" w:space="0"/>
              <w:left w:val="single" w:color="000000" w:sz="4" w:space="0"/>
              <w:bottom w:val="single" w:color="000000" w:sz="4" w:space="0"/>
              <w:right w:val="single" w:color="auto" w:sz="4" w:space="0"/>
            </w:tcBorders>
            <w:noWrap/>
            <w:vAlign w:val="center"/>
          </w:tcPr>
          <w:p>
            <w:pPr>
              <w:widowControl/>
              <w:jc w:val="center"/>
              <w:rPr>
                <w:spacing w:val="-1"/>
                <w:szCs w:val="21"/>
              </w:rPr>
            </w:pPr>
            <w:r>
              <w:rPr>
                <w:color w:val="000000"/>
                <w:kern w:val="0"/>
                <w:szCs w:val="21"/>
              </w:rPr>
              <w:t>≤0.5</w:t>
            </w:r>
          </w:p>
        </w:tc>
        <w:tc>
          <w:tcPr>
            <w:tcW w:w="1246" w:type="dxa"/>
            <w:tcBorders>
              <w:top w:val="single" w:color="auto" w:sz="4" w:space="0"/>
              <w:left w:val="single" w:color="auto" w:sz="4" w:space="0"/>
              <w:bottom w:val="single" w:color="auto" w:sz="4" w:space="0"/>
              <w:right w:val="single" w:color="auto" w:sz="4" w:space="0"/>
            </w:tcBorders>
            <w:noWrap/>
            <w:vAlign w:val="center"/>
          </w:tcPr>
          <w:p>
            <w:pPr>
              <w:widowControl/>
              <w:jc w:val="center"/>
              <w:rPr>
                <w:szCs w:val="21"/>
              </w:rPr>
            </w:pPr>
            <w:r>
              <w:rPr>
                <w:color w:val="000000"/>
                <w:kern w:val="0"/>
                <w:szCs w:val="21"/>
              </w:rPr>
              <w:t>1300~1400</w:t>
            </w:r>
          </w:p>
        </w:tc>
        <w:tc>
          <w:tcPr>
            <w:tcW w:w="1177" w:type="dxa"/>
            <w:tcBorders>
              <w:top w:val="single" w:color="auto" w:sz="4" w:space="0"/>
              <w:left w:val="single" w:color="auto" w:sz="4" w:space="0"/>
              <w:bottom w:val="single" w:color="auto" w:sz="4" w:space="0"/>
              <w:right w:val="single" w:color="auto" w:sz="4" w:space="0"/>
            </w:tcBorders>
            <w:noWrap/>
            <w:vAlign w:val="center"/>
          </w:tcPr>
          <w:p>
            <w:pPr>
              <w:widowControl/>
              <w:jc w:val="center"/>
              <w:rPr>
                <w:szCs w:val="21"/>
              </w:rPr>
            </w:pPr>
            <w:r>
              <w:rPr>
                <w:color w:val="000000"/>
                <w:kern w:val="0"/>
                <w:szCs w:val="21"/>
              </w:rPr>
              <w:t>1.0~1.30</w:t>
            </w:r>
          </w:p>
        </w:tc>
      </w:tr>
    </w:tbl>
    <w:p>
      <w:pPr>
        <w:pStyle w:val="105"/>
        <w:spacing w:before="3"/>
        <w:ind w:left="102"/>
        <w:rPr>
          <w:rFonts w:ascii="Calibri" w:hAnsi="Calibri" w:cs="Calibri"/>
          <w:color w:val="000000"/>
        </w:rPr>
      </w:pPr>
      <w:r>
        <w:rPr>
          <w:rFonts w:hint="eastAsia" w:ascii="Calibri" w:hAnsi="Calibri" w:eastAsia="Calibri" w:cs="Calibri"/>
          <w:color w:val="000000"/>
        </w:rPr>
        <w:t xml:space="preserve">3.2 </w:t>
      </w:r>
      <w:r>
        <w:rPr>
          <w:rFonts w:hint="eastAsia" w:ascii="宋体" w:hAnsi="宋体" w:cs="宋体"/>
          <w:color w:val="000000"/>
          <w:spacing w:val="-1"/>
          <w:szCs w:val="21"/>
        </w:rPr>
        <w:t>高碱度覆盖剂</w:t>
      </w:r>
      <w:r>
        <w:rPr>
          <w:rFonts w:hint="eastAsia" w:ascii="宋体" w:hAnsi="宋体" w:cs="宋体"/>
          <w:spacing w:val="-1"/>
          <w:szCs w:val="21"/>
        </w:rPr>
        <w:t>必须是预熔型产品。</w:t>
      </w:r>
    </w:p>
    <w:p>
      <w:pPr>
        <w:pStyle w:val="15"/>
        <w:spacing w:before="72"/>
        <w:rPr>
          <w:color w:val="000000"/>
        </w:rPr>
      </w:pPr>
      <w:r>
        <w:rPr>
          <w:rFonts w:ascii="Calibri" w:hAnsi="Calibri" w:eastAsia="Calibri" w:cs="Calibri"/>
          <w:color w:val="000000"/>
        </w:rPr>
        <w:t>3.</w:t>
      </w:r>
      <w:r>
        <w:rPr>
          <w:rFonts w:hint="eastAsia" w:ascii="Calibri" w:hAnsi="Calibri" w:eastAsia="Calibri" w:cs="Calibri"/>
          <w:color w:val="000000"/>
        </w:rPr>
        <w:t>3</w:t>
      </w:r>
      <w:r>
        <w:rPr>
          <w:color w:val="000000"/>
        </w:rPr>
        <w:t>产品粒度范围及允许偏差应符合表</w:t>
      </w:r>
      <w:r>
        <w:rPr>
          <w:rFonts w:ascii="Calibri" w:hAnsi="Calibri" w:eastAsia="Calibri" w:cs="Calibri"/>
          <w:color w:val="000000"/>
        </w:rPr>
        <w:t>2</w:t>
      </w:r>
      <w:r>
        <w:rPr>
          <w:color w:val="000000"/>
        </w:rPr>
        <w:t>的规定。</w:t>
      </w:r>
    </w:p>
    <w:p>
      <w:pPr>
        <w:spacing w:before="115"/>
        <w:ind w:left="3803" w:right="3804"/>
        <w:jc w:val="center"/>
        <w:rPr>
          <w:rFonts w:eastAsia="Calibri" w:cs="Calibri"/>
          <w:szCs w:val="21"/>
        </w:rPr>
      </w:pPr>
      <w:r>
        <w:rPr>
          <w:rFonts w:ascii="黑体" w:hAnsi="黑体" w:eastAsia="黑体" w:cs="黑体"/>
          <w:szCs w:val="21"/>
        </w:rPr>
        <w:t>表</w:t>
      </w:r>
      <w:r>
        <w:rPr>
          <w:rFonts w:eastAsia="Calibri" w:cs="Calibri"/>
          <w:szCs w:val="21"/>
        </w:rPr>
        <w:t>2</w:t>
      </w:r>
    </w:p>
    <w:p>
      <w:pPr>
        <w:spacing w:before="2"/>
        <w:rPr>
          <w:rFonts w:eastAsia="Calibri" w:cs="Calibri"/>
          <w:sz w:val="2"/>
          <w:szCs w:val="2"/>
        </w:rPr>
      </w:pPr>
    </w:p>
    <w:tbl>
      <w:tblPr>
        <w:tblStyle w:val="37"/>
        <w:tblW w:w="8320" w:type="dxa"/>
        <w:tblInd w:w="739" w:type="dxa"/>
        <w:tblLayout w:type="fixed"/>
        <w:tblCellMar>
          <w:top w:w="0" w:type="dxa"/>
          <w:left w:w="0" w:type="dxa"/>
          <w:bottom w:w="0" w:type="dxa"/>
          <w:right w:w="0" w:type="dxa"/>
        </w:tblCellMar>
      </w:tblPr>
      <w:tblGrid>
        <w:gridCol w:w="1745"/>
        <w:gridCol w:w="1659"/>
        <w:gridCol w:w="1659"/>
        <w:gridCol w:w="1658"/>
        <w:gridCol w:w="1599"/>
      </w:tblGrid>
      <w:tr>
        <w:trPr>
          <w:trHeight w:val="407" w:hRule="exact"/>
        </w:trPr>
        <w:tc>
          <w:tcPr>
            <w:tcW w:w="1745" w:type="dxa"/>
            <w:tcBorders>
              <w:top w:val="single" w:color="000000" w:sz="4" w:space="0"/>
              <w:left w:val="single" w:color="000000" w:sz="4" w:space="0"/>
              <w:bottom w:val="single" w:color="000000" w:sz="4" w:space="0"/>
              <w:right w:val="single" w:color="000000" w:sz="4" w:space="0"/>
            </w:tcBorders>
            <w:noWrap/>
          </w:tcPr>
          <w:p>
            <w:pPr>
              <w:pStyle w:val="105"/>
              <w:spacing w:before="89"/>
              <w:ind w:left="174"/>
              <w:rPr>
                <w:rFonts w:eastAsia="Calibri" w:cs="Calibri"/>
                <w:szCs w:val="21"/>
              </w:rPr>
            </w:pPr>
            <w:r>
              <w:rPr>
                <w:rFonts w:ascii="宋体" w:hAnsi="宋体" w:cs="宋体"/>
                <w:spacing w:val="-2"/>
                <w:szCs w:val="21"/>
              </w:rPr>
              <w:t>粒度范围，</w:t>
            </w:r>
            <w:r>
              <w:rPr>
                <w:rFonts w:eastAsia="Calibri" w:cs="Calibri"/>
                <w:spacing w:val="-2"/>
                <w:szCs w:val="21"/>
              </w:rPr>
              <w:t>mm</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44"/>
              <w:ind w:left="506"/>
              <w:rPr>
                <w:rFonts w:eastAsia="Calibri" w:cs="Calibri"/>
                <w:szCs w:val="21"/>
              </w:rPr>
            </w:pPr>
            <w:r>
              <w:rPr>
                <w:spacing w:val="-1"/>
              </w:rPr>
              <w:t>0.1~2.0</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06"/>
              <w:ind w:right="1"/>
              <w:jc w:val="center"/>
              <w:rPr>
                <w:rFonts w:eastAsia="Calibri" w:cs="Calibri"/>
                <w:szCs w:val="21"/>
              </w:rPr>
            </w:pPr>
            <w:r>
              <w:rPr>
                <w:rFonts w:ascii="宋体" w:hAnsi="宋体" w:cs="宋体"/>
                <w:spacing w:val="-1"/>
                <w:szCs w:val="21"/>
              </w:rPr>
              <w:t>＜</w:t>
            </w:r>
            <w:r>
              <w:rPr>
                <w:rFonts w:eastAsia="Calibri" w:cs="Calibri"/>
                <w:spacing w:val="-1"/>
                <w:szCs w:val="21"/>
              </w:rPr>
              <w:t>0.1</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06"/>
              <w:ind w:right="1"/>
              <w:jc w:val="center"/>
              <w:rPr>
                <w:rFonts w:eastAsia="Calibri" w:cs="Calibri"/>
                <w:szCs w:val="21"/>
              </w:rPr>
            </w:pPr>
            <w:r>
              <w:rPr>
                <w:rFonts w:ascii="宋体" w:hAnsi="宋体" w:cs="宋体"/>
                <w:spacing w:val="-1"/>
                <w:szCs w:val="21"/>
              </w:rPr>
              <w:t>＞</w:t>
            </w:r>
            <w:r>
              <w:rPr>
                <w:rFonts w:eastAsia="Calibri" w:cs="Calibri"/>
                <w:spacing w:val="-1"/>
                <w:szCs w:val="21"/>
              </w:rPr>
              <w:t>2.0</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2"/>
              <w:jc w:val="center"/>
              <w:rPr>
                <w:rFonts w:eastAsia="Calibri" w:cs="Calibri"/>
                <w:szCs w:val="21"/>
              </w:rPr>
            </w:pPr>
            <w:r>
              <w:rPr>
                <w:rStyle w:val="106"/>
                <w:rFonts w:hint="eastAsia" w:ascii="宋体" w:hAnsi="宋体" w:eastAsia="宋体" w:cs="宋体"/>
                <w:lang w:val="en-US" w:eastAsia="zh-CN" w:bidi="en-US"/>
              </w:rPr>
              <w:t>≥</w:t>
            </w:r>
            <w:r>
              <w:rPr>
                <w:rFonts w:eastAsia="Calibri" w:cs="Calibri"/>
                <w:spacing w:val="-1"/>
                <w:szCs w:val="21"/>
              </w:rPr>
              <w:t>3.0</w:t>
            </w:r>
          </w:p>
        </w:tc>
      </w:tr>
      <w:tr>
        <w:tblPrEx>
          <w:tblCellMar>
            <w:top w:w="0" w:type="dxa"/>
            <w:left w:w="0" w:type="dxa"/>
            <w:bottom w:w="0" w:type="dxa"/>
            <w:right w:w="0" w:type="dxa"/>
          </w:tblCellMar>
        </w:tblPrEx>
        <w:trPr>
          <w:trHeight w:val="417" w:hRule="exact"/>
        </w:trPr>
        <w:tc>
          <w:tcPr>
            <w:tcW w:w="1745" w:type="dxa"/>
            <w:tcBorders>
              <w:top w:val="single" w:color="000000" w:sz="4" w:space="0"/>
              <w:left w:val="single" w:color="000000" w:sz="4" w:space="0"/>
              <w:bottom w:val="single" w:color="000000" w:sz="4" w:space="0"/>
              <w:right w:val="single" w:color="000000" w:sz="4" w:space="0"/>
            </w:tcBorders>
            <w:noWrap/>
          </w:tcPr>
          <w:p>
            <w:pPr>
              <w:pStyle w:val="105"/>
              <w:spacing w:before="89"/>
              <w:ind w:left="265"/>
              <w:rPr>
                <w:rFonts w:eastAsia="Calibri" w:cs="Calibri"/>
                <w:szCs w:val="21"/>
              </w:rPr>
            </w:pPr>
            <w:r>
              <w:rPr>
                <w:rFonts w:ascii="宋体" w:hAnsi="宋体" w:cs="宋体"/>
                <w:spacing w:val="-2"/>
                <w:szCs w:val="21"/>
              </w:rPr>
              <w:t>允许偏差，</w:t>
            </w:r>
            <w:r>
              <w:rPr>
                <w:rFonts w:eastAsia="Calibri" w:cs="Calibri"/>
                <w:spacing w:val="-2"/>
                <w:szCs w:val="21"/>
              </w:rPr>
              <w:t>%</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44"/>
              <w:jc w:val="center"/>
              <w:rPr>
                <w:rFonts w:eastAsia="Calibri" w:cs="Calibri"/>
                <w:szCs w:val="21"/>
              </w:rPr>
            </w:pPr>
            <w:r>
              <w:rPr>
                <w:rStyle w:val="106"/>
                <w:rFonts w:hint="eastAsia" w:ascii="宋体" w:hAnsi="宋体" w:eastAsia="宋体" w:cs="宋体"/>
                <w:lang w:val="en-US" w:eastAsia="zh-CN" w:bidi="en-US"/>
              </w:rPr>
              <w:t>≥</w:t>
            </w:r>
            <w:r>
              <w:rPr>
                <w:rFonts w:eastAsia="Calibri" w:cs="Calibri"/>
                <w:spacing w:val="-1"/>
                <w:szCs w:val="21"/>
              </w:rPr>
              <w:t>90</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2"/>
              <w:jc w:val="center"/>
              <w:rPr>
                <w:rFonts w:eastAsia="Calibri" w:cs="Calibri"/>
                <w:szCs w:val="21"/>
              </w:rPr>
            </w:pPr>
            <w:r>
              <w:rPr>
                <w:rFonts w:hint="eastAsia" w:ascii="宋体" w:hAnsi="宋体" w:cs="宋体"/>
                <w:szCs w:val="21"/>
              </w:rPr>
              <w:t>≤</w:t>
            </w:r>
            <w:r>
              <w:rPr>
                <w:rFonts w:eastAsia="Calibri" w:cs="Calibri"/>
                <w:szCs w:val="21"/>
              </w:rPr>
              <w:t>5</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2"/>
              <w:jc w:val="center"/>
              <w:rPr>
                <w:rFonts w:eastAsia="Calibri" w:cs="Calibri"/>
                <w:szCs w:val="21"/>
              </w:rPr>
            </w:pPr>
            <w:r>
              <w:rPr>
                <w:rFonts w:hint="eastAsia" w:ascii="宋体" w:hAnsi="宋体" w:cs="宋体"/>
                <w:szCs w:val="21"/>
              </w:rPr>
              <w:t>≤</w:t>
            </w:r>
            <w:r>
              <w:rPr>
                <w:rFonts w:eastAsia="Calibri" w:cs="Calibri"/>
                <w:szCs w:val="21"/>
              </w:rPr>
              <w:t>5</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2"/>
              <w:jc w:val="center"/>
              <w:rPr>
                <w:rFonts w:eastAsia="Calibri" w:cs="Calibri"/>
                <w:szCs w:val="21"/>
              </w:rPr>
            </w:pPr>
            <w:r>
              <w:t>0</w:t>
            </w:r>
          </w:p>
        </w:tc>
      </w:tr>
    </w:tbl>
    <w:p>
      <w:pPr>
        <w:pStyle w:val="15"/>
        <w:spacing w:before="71"/>
        <w:rPr>
          <w:rFonts w:ascii="Calibri" w:hAnsi="Calibri" w:eastAsia="Calibri" w:cs="Calibri"/>
          <w:color w:val="000000"/>
        </w:rPr>
      </w:pPr>
    </w:p>
    <w:p>
      <w:pPr>
        <w:pStyle w:val="15"/>
        <w:spacing w:before="71"/>
        <w:rPr>
          <w:color w:val="000000"/>
        </w:rPr>
      </w:pPr>
      <w:r>
        <w:rPr>
          <w:rFonts w:ascii="Calibri" w:hAnsi="Calibri" w:eastAsia="Calibri" w:cs="Calibri"/>
          <w:color w:val="000000"/>
        </w:rPr>
        <w:t>3.</w:t>
      </w:r>
      <w:r>
        <w:rPr>
          <w:rFonts w:hint="eastAsia" w:ascii="Calibri" w:hAnsi="Calibri" w:eastAsia="Calibri" w:cs="Calibri"/>
          <w:color w:val="000000"/>
        </w:rPr>
        <w:t>4</w:t>
      </w:r>
      <w:r>
        <w:rPr>
          <w:rFonts w:hint="eastAsia"/>
          <w:color w:val="000000"/>
        </w:rPr>
        <w:t>使用</w:t>
      </w:r>
      <w:r>
        <w:rPr>
          <w:color w:val="000000"/>
        </w:rPr>
        <w:t>性能</w:t>
      </w:r>
      <w:r>
        <w:rPr>
          <w:rFonts w:hint="eastAsia"/>
          <w:color w:val="000000"/>
        </w:rPr>
        <w:t>要求</w:t>
      </w:r>
    </w:p>
    <w:p>
      <w:pPr>
        <w:pStyle w:val="15"/>
        <w:spacing w:before="71"/>
        <w:rPr>
          <w:rFonts w:cs="宋体"/>
          <w:color w:val="000000"/>
        </w:rPr>
      </w:pPr>
      <w:r>
        <w:rPr>
          <w:rFonts w:hint="eastAsia" w:cs="宋体"/>
          <w:color w:val="000000"/>
        </w:rPr>
        <w:t>3.4.1质量稳定、保温和铺展性能好。使用中不能有明显的结壳、结块和粘棒等现象。</w:t>
      </w:r>
    </w:p>
    <w:p>
      <w:pPr>
        <w:pStyle w:val="15"/>
        <w:spacing w:before="71"/>
        <w:ind w:left="141" w:leftChars="67"/>
        <w:rPr>
          <w:rFonts w:cs="宋体"/>
          <w:color w:val="000000"/>
        </w:rPr>
      </w:pPr>
      <w:r>
        <w:rPr>
          <w:rFonts w:hint="eastAsia" w:cs="宋体"/>
          <w:color w:val="000000"/>
        </w:rPr>
        <w:t>3.4</w:t>
      </w:r>
      <w:r>
        <w:rPr>
          <w:rFonts w:hint="eastAsia"/>
          <w:color w:val="000000"/>
        </w:rPr>
        <w:t>.2</w:t>
      </w:r>
      <w:r>
        <w:rPr>
          <w:rFonts w:hint="eastAsia" w:cs="宋体"/>
          <w:color w:val="000000"/>
        </w:rPr>
        <w:t>不易于浸蚀中间包包衬、塞棒及挡渣墙。</w:t>
      </w:r>
    </w:p>
    <w:p>
      <w:pPr>
        <w:pStyle w:val="15"/>
        <w:spacing w:before="71"/>
        <w:ind w:left="141" w:leftChars="67"/>
        <w:rPr>
          <w:rFonts w:cs="宋体"/>
          <w:color w:val="000000"/>
        </w:rPr>
      </w:pPr>
      <w:r>
        <w:rPr>
          <w:rFonts w:hint="eastAsia"/>
          <w:color w:val="000000"/>
        </w:rPr>
        <w:t>3.4.3</w:t>
      </w:r>
      <w:r>
        <w:rPr>
          <w:rFonts w:hint="eastAsia" w:cs="宋体"/>
          <w:color w:val="000000"/>
        </w:rPr>
        <w:t>使用过程产生烟尘少、无异味。</w:t>
      </w:r>
    </w:p>
    <w:p>
      <w:pPr>
        <w:pStyle w:val="15"/>
        <w:spacing w:before="71"/>
        <w:rPr>
          <w:color w:val="000000"/>
        </w:rPr>
      </w:pPr>
      <w:r>
        <w:rPr>
          <w:rFonts w:hint="eastAsia"/>
          <w:color w:val="000000"/>
        </w:rPr>
        <w:t>3.4.4覆盖剂</w:t>
      </w:r>
      <w:r>
        <w:rPr>
          <w:color w:val="000000"/>
          <w:spacing w:val="-1"/>
        </w:rPr>
        <w:t>不得混入其它外来夹杂物。</w:t>
      </w:r>
    </w:p>
    <w:p>
      <w:pPr>
        <w:pStyle w:val="104"/>
        <w:spacing w:before="0"/>
        <w:ind w:left="147"/>
        <w:jc w:val="left"/>
        <w:rPr>
          <w:b w:val="0"/>
          <w:bCs w:val="0"/>
        </w:rPr>
      </w:pPr>
      <w:r>
        <w:rPr>
          <w:rFonts w:ascii="Calibri" w:hAnsi="Calibri" w:eastAsia="Calibri" w:cs="Calibri"/>
        </w:rPr>
        <w:t xml:space="preserve">4 </w:t>
      </w:r>
      <w:r>
        <w:t>试验方法</w:t>
      </w:r>
    </w:p>
    <w:p>
      <w:pPr>
        <w:pStyle w:val="15"/>
        <w:spacing w:line="440" w:lineRule="exact"/>
        <w:ind w:left="147"/>
      </w:pPr>
      <w:r>
        <w:rPr>
          <w:rFonts w:ascii="Calibri" w:hAnsi="Calibri" w:eastAsia="Calibri" w:cs="Calibri"/>
        </w:rPr>
        <w:t>4.1</w:t>
      </w:r>
      <w:r>
        <w:rPr>
          <w:spacing w:val="-1"/>
        </w:rPr>
        <w:t>取制样方法按</w:t>
      </w:r>
      <w:r>
        <w:rPr>
          <w:rFonts w:ascii="Calibri" w:hAnsi="Calibri" w:eastAsia="Calibri" w:cs="Calibri"/>
          <w:spacing w:val="-2"/>
        </w:rPr>
        <w:t>GB/T17617</w:t>
      </w:r>
      <w:r>
        <w:t>的规定进行。</w:t>
      </w:r>
    </w:p>
    <w:p>
      <w:pPr>
        <w:pStyle w:val="15"/>
        <w:spacing w:line="440" w:lineRule="exact"/>
        <w:ind w:left="147"/>
      </w:pPr>
      <w:r>
        <w:rPr>
          <w:rFonts w:ascii="Calibri" w:hAnsi="Calibri" w:eastAsia="Calibri" w:cs="Calibri"/>
          <w:spacing w:val="-1"/>
        </w:rPr>
        <w:t>4.2CaO</w:t>
      </w:r>
      <w:r>
        <w:rPr>
          <w:spacing w:val="-1"/>
        </w:rPr>
        <w:t>、</w:t>
      </w:r>
      <w:r>
        <w:rPr>
          <w:rFonts w:ascii="Calibri" w:hAnsi="Calibri" w:eastAsia="Calibri" w:cs="Calibri"/>
          <w:spacing w:val="-1"/>
        </w:rPr>
        <w:t>SiO2</w:t>
      </w:r>
      <w:r>
        <w:rPr>
          <w:spacing w:val="-1"/>
        </w:rPr>
        <w:t>、</w:t>
      </w:r>
      <w:r>
        <w:rPr>
          <w:rFonts w:ascii="Calibri" w:hAnsi="Calibri" w:eastAsia="Calibri" w:cs="Calibri"/>
          <w:spacing w:val="-1"/>
        </w:rPr>
        <w:t>Al2O3</w:t>
      </w:r>
      <w:r>
        <w:rPr>
          <w:spacing w:val="-1"/>
        </w:rPr>
        <w:t>、</w:t>
      </w:r>
      <w:r>
        <w:rPr>
          <w:rFonts w:ascii="Calibri" w:hAnsi="Calibri" w:eastAsia="Calibri" w:cs="Calibri"/>
          <w:spacing w:val="-1"/>
        </w:rPr>
        <w:t>MgO</w:t>
      </w:r>
      <w:r>
        <w:rPr>
          <w:spacing w:val="-1"/>
        </w:rPr>
        <w:t>、</w:t>
      </w:r>
      <w:r>
        <w:rPr>
          <w:rFonts w:ascii="Calibri" w:hAnsi="Calibri" w:eastAsia="Calibri" w:cs="Calibri"/>
          <w:spacing w:val="-1"/>
        </w:rPr>
        <w:t>Fe2O3</w:t>
      </w:r>
      <w:r>
        <w:rPr>
          <w:spacing w:val="-1"/>
        </w:rPr>
        <w:t>的测定按</w:t>
      </w:r>
      <w:r>
        <w:rPr>
          <w:rFonts w:ascii="Calibri" w:hAnsi="Calibri" w:eastAsia="Calibri" w:cs="Calibri"/>
          <w:spacing w:val="-1"/>
        </w:rPr>
        <w:t>GB/T5069</w:t>
      </w:r>
      <w:r>
        <w:rPr>
          <w:spacing w:val="-1"/>
        </w:rPr>
        <w:t>的规定进行。</w:t>
      </w:r>
    </w:p>
    <w:p>
      <w:pPr>
        <w:pStyle w:val="15"/>
        <w:spacing w:line="440" w:lineRule="exact"/>
        <w:ind w:left="147"/>
      </w:pPr>
      <w:r>
        <w:rPr>
          <w:rFonts w:ascii="Calibri" w:hAnsi="Calibri" w:eastAsia="Calibri" w:cs="Calibri"/>
        </w:rPr>
        <w:t>4.3 C</w:t>
      </w:r>
      <w:r>
        <w:t>的测定按</w:t>
      </w:r>
      <w:r>
        <w:rPr>
          <w:rFonts w:ascii="Calibri" w:hAnsi="Calibri" w:eastAsia="Calibri" w:cs="Calibri"/>
          <w:spacing w:val="-1"/>
        </w:rPr>
        <w:t>YB/T190</w:t>
      </w:r>
      <w:r>
        <w:t>的规定进行。</w:t>
      </w:r>
    </w:p>
    <w:p>
      <w:pPr>
        <w:pStyle w:val="15"/>
        <w:spacing w:line="440" w:lineRule="exact"/>
        <w:ind w:left="147"/>
      </w:pPr>
      <w:r>
        <w:rPr>
          <w:rFonts w:ascii="Calibri" w:hAnsi="Calibri" w:eastAsia="Calibri" w:cs="Calibri"/>
          <w:spacing w:val="-1"/>
        </w:rPr>
        <w:t>4.4</w:t>
      </w:r>
      <w:r>
        <w:t>熔化温度的测定按</w:t>
      </w:r>
      <w:r>
        <w:rPr>
          <w:rFonts w:ascii="Calibri" w:hAnsi="Calibri" w:eastAsia="Calibri" w:cs="Calibri"/>
        </w:rPr>
        <w:t>YB/T186</w:t>
      </w:r>
      <w:r>
        <w:t>的规定进行。</w:t>
      </w:r>
    </w:p>
    <w:p>
      <w:pPr>
        <w:pStyle w:val="15"/>
        <w:spacing w:line="440" w:lineRule="exact"/>
        <w:ind w:left="147"/>
      </w:pPr>
      <w:r>
        <w:rPr>
          <w:rFonts w:ascii="Calibri" w:hAnsi="Calibri" w:eastAsia="Calibri" w:cs="Calibri"/>
          <w:spacing w:val="-1"/>
        </w:rPr>
        <w:t>4.5</w:t>
      </w:r>
      <w:r>
        <w:rPr>
          <w:spacing w:val="-1"/>
        </w:rPr>
        <w:t>堆积密度的测定按</w:t>
      </w:r>
      <w:r>
        <w:rPr>
          <w:rFonts w:ascii="Calibri" w:hAnsi="Calibri" w:eastAsia="Calibri" w:cs="Calibri"/>
          <w:spacing w:val="-1"/>
        </w:rPr>
        <w:t>YB/T187</w:t>
      </w:r>
      <w:r>
        <w:t>的规定进行。</w:t>
      </w:r>
    </w:p>
    <w:p>
      <w:pPr>
        <w:pStyle w:val="15"/>
        <w:spacing w:line="440" w:lineRule="exact"/>
        <w:ind w:left="147"/>
      </w:pPr>
      <w:r>
        <w:rPr>
          <w:rFonts w:ascii="Calibri" w:hAnsi="Calibri" w:eastAsia="Calibri" w:cs="Calibri"/>
          <w:spacing w:val="-1"/>
        </w:rPr>
        <w:t>4.6</w:t>
      </w:r>
      <w:r>
        <w:t>粒度的测定按</w:t>
      </w:r>
      <w:r>
        <w:rPr>
          <w:rFonts w:ascii="Calibri" w:hAnsi="Calibri" w:eastAsia="Calibri" w:cs="Calibri"/>
          <w:spacing w:val="-1"/>
        </w:rPr>
        <w:t>YB/T188</w:t>
      </w:r>
      <w:r>
        <w:t>的规定进行。</w:t>
      </w:r>
    </w:p>
    <w:p>
      <w:pPr>
        <w:pStyle w:val="15"/>
        <w:spacing w:line="440" w:lineRule="exact"/>
        <w:ind w:left="147"/>
      </w:pPr>
      <w:r>
        <w:rPr>
          <w:rFonts w:ascii="Calibri" w:hAnsi="Calibri" w:eastAsia="Calibri" w:cs="Calibri"/>
          <w:spacing w:val="-1"/>
        </w:rPr>
        <w:t>4.7</w:t>
      </w:r>
      <w:r>
        <w:t>水分的测定按</w:t>
      </w:r>
      <w:r>
        <w:rPr>
          <w:rFonts w:ascii="Calibri" w:hAnsi="Calibri" w:eastAsia="Calibri" w:cs="Calibri"/>
          <w:spacing w:val="-1"/>
        </w:rPr>
        <w:t>GB/T3007</w:t>
      </w:r>
      <w:r>
        <w:t>的规定进行。</w:t>
      </w:r>
    </w:p>
    <w:p>
      <w:pPr>
        <w:pStyle w:val="104"/>
        <w:spacing w:before="0"/>
        <w:ind w:left="147"/>
        <w:rPr>
          <w:b w:val="0"/>
          <w:bCs w:val="0"/>
        </w:rPr>
      </w:pPr>
      <w:r>
        <w:rPr>
          <w:rFonts w:ascii="Calibri" w:hAnsi="Calibri" w:eastAsia="Calibri" w:cs="Calibri"/>
        </w:rPr>
        <w:t xml:space="preserve">5 </w:t>
      </w:r>
      <w:r>
        <w:t>检验规则</w:t>
      </w:r>
    </w:p>
    <w:p>
      <w:pPr>
        <w:pStyle w:val="15"/>
        <w:ind w:left="147"/>
      </w:pPr>
      <w:r>
        <w:rPr>
          <w:rFonts w:ascii="Calibri" w:hAnsi="Calibri" w:eastAsia="Calibri" w:cs="Calibri"/>
        </w:rPr>
        <w:t xml:space="preserve">5.1 </w:t>
      </w:r>
      <w:r>
        <w:t>产品按批交货，一次交货为一批，每批为一检验单位，每批重量不超过</w:t>
      </w:r>
      <w:r>
        <w:rPr>
          <w:rFonts w:ascii="Calibri" w:hAnsi="Calibri" w:eastAsia="Calibri" w:cs="Calibri"/>
        </w:rPr>
        <w:t>60t</w:t>
      </w:r>
      <w:r>
        <w:t>。</w:t>
      </w:r>
    </w:p>
    <w:p>
      <w:pPr>
        <w:pStyle w:val="15"/>
      </w:pPr>
      <w:r>
        <w:rPr>
          <w:rFonts w:ascii="Calibri" w:hAnsi="Calibri" w:eastAsia="Calibri" w:cs="Calibri"/>
        </w:rPr>
        <w:t>5.</w:t>
      </w:r>
      <w:r>
        <w:rPr>
          <w:rFonts w:hint="eastAsia" w:ascii="Calibri" w:hAnsi="Calibri" w:eastAsia="Calibri" w:cs="Calibri"/>
        </w:rPr>
        <w:t>2</w:t>
      </w:r>
      <w:r>
        <w:t>产品的质量检查和验收由供方技术质量监督部门负责进行。</w:t>
      </w:r>
    </w:p>
    <w:p>
      <w:pPr>
        <w:pStyle w:val="15"/>
        <w:spacing w:before="95" w:line="307" w:lineRule="auto"/>
      </w:pPr>
      <w:r>
        <w:rPr>
          <w:rFonts w:ascii="Calibri" w:hAnsi="Calibri" w:eastAsia="Calibri" w:cs="Calibri"/>
        </w:rPr>
        <w:t>5.</w:t>
      </w:r>
      <w:r>
        <w:rPr>
          <w:rFonts w:hint="eastAsia" w:ascii="Calibri" w:hAnsi="Calibri" w:eastAsia="Calibri" w:cs="Calibri"/>
        </w:rPr>
        <w:t>3</w:t>
      </w:r>
      <w:r>
        <w:t>需方可按本规范对产品质量进行复验，如有异议，应在到货</w:t>
      </w:r>
      <w:r>
        <w:rPr>
          <w:rFonts w:ascii="Calibri" w:hAnsi="Calibri" w:eastAsia="Calibri" w:cs="Calibri"/>
        </w:rPr>
        <w:t>30</w:t>
      </w:r>
      <w:r>
        <w:t>天内提出。对交货批有 异议时，由供需双方按有关国家标准仲裁，无相应国家标准，按供需双方协议规定仲裁。</w:t>
      </w:r>
    </w:p>
    <w:p>
      <w:pPr>
        <w:pStyle w:val="104"/>
        <w:spacing w:before="0"/>
        <w:ind w:left="147"/>
        <w:rPr>
          <w:b w:val="0"/>
          <w:bCs w:val="0"/>
        </w:rPr>
      </w:pPr>
      <w:r>
        <w:rPr>
          <w:rFonts w:ascii="Calibri" w:hAnsi="Calibri" w:eastAsia="Calibri" w:cs="Calibri"/>
        </w:rPr>
        <w:t>6</w:t>
      </w:r>
      <w:r>
        <w:t>包装、储运、标志和质量证明书</w:t>
      </w:r>
    </w:p>
    <w:p>
      <w:pPr>
        <w:pStyle w:val="15"/>
        <w:spacing w:line="440" w:lineRule="exact"/>
        <w:rPr>
          <w:rFonts w:ascii="Calibri" w:hAnsi="Calibri" w:eastAsia="Calibri" w:cs="Calibri"/>
        </w:rPr>
      </w:pPr>
      <w:r>
        <w:rPr>
          <w:rFonts w:ascii="Calibri" w:hAnsi="Calibri" w:eastAsia="Calibri" w:cs="Calibri"/>
        </w:rPr>
        <w:t>6.1</w:t>
      </w:r>
      <w:r>
        <w:rPr>
          <w:rFonts w:hint="eastAsia" w:ascii="Calibri" w:hAnsi="Calibri" w:eastAsia="Calibri" w:cs="Calibri"/>
        </w:rPr>
        <w:t>保温覆盖剂</w:t>
      </w:r>
      <w:r>
        <w:t>采用内衬防潮包装，净重</w:t>
      </w:r>
      <w:r>
        <w:rPr>
          <w:rFonts w:hint="eastAsia" w:ascii="宋体" w:hAnsi="宋体" w:cs="宋体"/>
          <w:spacing w:val="-63"/>
        </w:rPr>
        <w:t xml:space="preserve">4 </w:t>
      </w:r>
      <w:r>
        <w:rPr>
          <w:rFonts w:hint="eastAsia" w:ascii="宋体" w:hAnsi="宋体" w:cs="宋体"/>
          <w:spacing w:val="-1"/>
        </w:rPr>
        <w:t>00</w:t>
      </w:r>
      <w:r>
        <w:rPr>
          <w:rFonts w:ascii="Calibri" w:hAnsi="Calibri" w:eastAsia="Calibri" w:cs="Calibri"/>
          <w:spacing w:val="-1"/>
        </w:rPr>
        <w:t>Kg</w:t>
      </w:r>
      <w:r>
        <w:rPr>
          <w:rFonts w:hint="eastAsia" w:ascii="Calibri" w:hAnsi="Calibri" w:eastAsia="Calibri" w:cs="Calibri"/>
          <w:spacing w:val="-1"/>
        </w:rPr>
        <w:t>，</w:t>
      </w:r>
      <w:r>
        <w:rPr>
          <w:rFonts w:hint="eastAsia"/>
          <w:spacing w:val="-1"/>
        </w:rPr>
        <w:t>大袋</w:t>
      </w:r>
      <w:r>
        <w:rPr>
          <w:spacing w:val="-1"/>
        </w:rPr>
        <w:t>内套防潮小袋，每小袋净重</w:t>
      </w:r>
      <w:r>
        <w:rPr>
          <w:rFonts w:hint="eastAsia"/>
          <w:spacing w:val="-1"/>
        </w:rPr>
        <w:t>3</w:t>
      </w:r>
      <w:r>
        <w:rPr>
          <w:rFonts w:ascii="Calibri" w:hAnsi="Calibri" w:eastAsia="Calibri" w:cs="Calibri"/>
        </w:rPr>
        <w:t>Kg</w:t>
      </w:r>
      <w:r>
        <w:t>。</w:t>
      </w:r>
    </w:p>
    <w:p>
      <w:pPr>
        <w:pStyle w:val="15"/>
        <w:spacing w:line="440" w:lineRule="exact"/>
      </w:pPr>
      <w:r>
        <w:rPr>
          <w:rFonts w:hint="eastAsia"/>
        </w:rPr>
        <w:t>其它覆盖剂</w:t>
      </w:r>
      <w:r>
        <w:t>采用内衬防潮吨袋包装，净重</w:t>
      </w:r>
      <w:r>
        <w:rPr>
          <w:rFonts w:hint="eastAsia" w:ascii="宋体" w:hAnsi="宋体" w:cs="宋体"/>
          <w:spacing w:val="-1"/>
        </w:rPr>
        <w:t>1000</w:t>
      </w:r>
      <w:r>
        <w:rPr>
          <w:rFonts w:ascii="Calibri" w:hAnsi="Calibri" w:eastAsia="Calibri" w:cs="Calibri"/>
          <w:spacing w:val="-1"/>
        </w:rPr>
        <w:t>Kg</w:t>
      </w:r>
      <w:r>
        <w:rPr>
          <w:spacing w:val="-1"/>
        </w:rPr>
        <w:t>；吨袋内套防潮小袋，每小袋净重</w:t>
      </w:r>
      <w:r>
        <w:rPr>
          <w:rFonts w:ascii="Calibri" w:hAnsi="Calibri" w:eastAsia="Calibri" w:cs="Calibri"/>
        </w:rPr>
        <w:t>5Kg</w:t>
      </w:r>
      <w:r>
        <w:t>。</w:t>
      </w:r>
    </w:p>
    <w:p>
      <w:pPr>
        <w:pStyle w:val="15"/>
        <w:spacing w:line="440" w:lineRule="exact"/>
      </w:pPr>
      <w:r>
        <w:rPr>
          <w:rFonts w:ascii="Calibri" w:hAnsi="Calibri" w:eastAsia="Calibri" w:cs="Calibri"/>
        </w:rPr>
        <w:t xml:space="preserve">6.2 </w:t>
      </w:r>
      <w:r>
        <w:t>产品入库应分批号存放</w:t>
      </w:r>
      <w:r>
        <w:rPr>
          <w:spacing w:val="-34"/>
        </w:rPr>
        <w:t>，</w:t>
      </w:r>
      <w:r>
        <w:t>如露天存放</w:t>
      </w:r>
      <w:r>
        <w:rPr>
          <w:spacing w:val="-34"/>
        </w:rPr>
        <w:t>，</w:t>
      </w:r>
      <w:r>
        <w:rPr>
          <w:spacing w:val="-3"/>
        </w:rPr>
        <w:t>应</w:t>
      </w:r>
      <w:r>
        <w:t>防潮并防止混入杂物</w:t>
      </w:r>
      <w:r>
        <w:rPr>
          <w:spacing w:val="-34"/>
        </w:rPr>
        <w:t>。</w:t>
      </w:r>
      <w:r>
        <w:t>产品储运时</w:t>
      </w:r>
      <w:r>
        <w:rPr>
          <w:spacing w:val="-34"/>
        </w:rPr>
        <w:t>，</w:t>
      </w:r>
      <w:r>
        <w:t>应有标识， 防止混批、混号。敞车或遇雨发运时，需用篷布盖好，防止渗水。</w:t>
      </w:r>
    </w:p>
    <w:p>
      <w:pPr>
        <w:pStyle w:val="22"/>
        <w:adjustRightInd/>
        <w:snapToGrid/>
        <w:spacing w:line="440" w:lineRule="exact"/>
        <w:ind w:left="0" w:leftChars="0" w:firstLine="240" w:firstLineChars="100"/>
        <w:rPr>
          <w:rFonts w:cs="宋体"/>
          <w:bCs/>
        </w:rPr>
      </w:pPr>
      <w:r>
        <w:rPr>
          <w:rFonts w:hint="eastAsia" w:ascii="Calibri" w:hAnsi="Calibri" w:eastAsia="Calibri" w:cs="Calibri"/>
        </w:rPr>
        <w:t>6.3</w:t>
      </w:r>
      <w:r>
        <w:rPr>
          <w:rFonts w:hint="eastAsia" w:cs="宋体"/>
        </w:rPr>
        <w:t>产品每一包装件表面的两面都</w:t>
      </w:r>
      <w:r>
        <w:rPr>
          <w:rFonts w:hint="eastAsia" w:cs="宋体"/>
          <w:bCs/>
        </w:rPr>
        <w:t>应印有不掉色的标记，标记内容见表3。其中包装件表面的生产厂名称、产品名称应使用印刷体标记。</w:t>
      </w:r>
    </w:p>
    <w:p>
      <w:pPr>
        <w:pStyle w:val="22"/>
        <w:adjustRightInd/>
        <w:snapToGrid/>
        <w:spacing w:line="440" w:lineRule="exact"/>
        <w:ind w:left="0" w:leftChars="0" w:firstLine="240" w:firstLineChars="100"/>
        <w:rPr>
          <w:rFonts w:cs="宋体"/>
          <w:bCs/>
        </w:rPr>
      </w:pPr>
      <w:r>
        <w:rPr>
          <w:rFonts w:hint="eastAsia" w:ascii="Calibri" w:hAnsi="Calibri" w:eastAsia="Calibri" w:cs="Calibri"/>
        </w:rPr>
        <w:t xml:space="preserve">6.4 </w:t>
      </w:r>
      <w:r>
        <w:rPr>
          <w:rFonts w:hint="eastAsia" w:cs="宋体"/>
          <w:bCs/>
        </w:rPr>
        <w:t>包装件内可附有标签，标签内容应符合表3的规定。</w:t>
      </w:r>
    </w:p>
    <w:p>
      <w:pPr>
        <w:pStyle w:val="15"/>
        <w:spacing w:before="95"/>
        <w:ind w:right="83"/>
        <w:jc w:val="center"/>
        <w:rPr>
          <w:rFonts w:ascii="Calibri" w:hAnsi="Calibri" w:eastAsia="Calibri" w:cs="Calibri"/>
          <w:highlight w:val="yellow"/>
        </w:rPr>
      </w:pPr>
      <w:r>
        <w:t>表</w:t>
      </w:r>
      <w:r>
        <w:rPr>
          <w:rFonts w:hint="eastAsia"/>
          <w:spacing w:val="-62"/>
        </w:rPr>
        <w:t>3</w:t>
      </w:r>
    </w:p>
    <w:tbl>
      <w:tblPr>
        <w:tblStyle w:val="37"/>
        <w:tblW w:w="7905" w:type="dxa"/>
        <w:tblInd w:w="947" w:type="dxa"/>
        <w:tblLayout w:type="fixed"/>
        <w:tblCellMar>
          <w:top w:w="0" w:type="dxa"/>
          <w:left w:w="0" w:type="dxa"/>
          <w:bottom w:w="0" w:type="dxa"/>
          <w:right w:w="0" w:type="dxa"/>
        </w:tblCellMar>
      </w:tblPr>
      <w:tblGrid>
        <w:gridCol w:w="1755"/>
        <w:gridCol w:w="6150"/>
      </w:tblGrid>
      <w:tr>
        <w:tblPrEx>
          <w:tblCellMar>
            <w:top w:w="0" w:type="dxa"/>
            <w:left w:w="0" w:type="dxa"/>
            <w:bottom w:w="0" w:type="dxa"/>
            <w:right w:w="0" w:type="dxa"/>
          </w:tblCellMar>
        </w:tblPrEx>
        <w:trPr>
          <w:trHeight w:val="430" w:hRule="exact"/>
        </w:trPr>
        <w:tc>
          <w:tcPr>
            <w:tcW w:w="1755" w:type="dxa"/>
            <w:tcBorders>
              <w:top w:val="single" w:color="000000" w:sz="4" w:space="0"/>
              <w:left w:val="single" w:color="000000" w:sz="4" w:space="0"/>
              <w:bottom w:val="single" w:color="000000" w:sz="4" w:space="0"/>
              <w:right w:val="single" w:color="000000" w:sz="4" w:space="0"/>
            </w:tcBorders>
            <w:noWrap/>
          </w:tcPr>
          <w:p>
            <w:pPr>
              <w:pStyle w:val="105"/>
              <w:spacing w:before="89"/>
              <w:ind w:left="239"/>
              <w:rPr>
                <w:rFonts w:ascii="宋体" w:hAnsi="宋体" w:cs="宋体"/>
                <w:szCs w:val="21"/>
              </w:rPr>
            </w:pPr>
            <w:r>
              <w:rPr>
                <w:rFonts w:ascii="宋体" w:hAnsi="宋体" w:cs="宋体"/>
                <w:spacing w:val="-1"/>
                <w:szCs w:val="21"/>
              </w:rPr>
              <w:t>表面标记内容</w:t>
            </w:r>
          </w:p>
        </w:tc>
        <w:tc>
          <w:tcPr>
            <w:tcW w:w="6150" w:type="dxa"/>
            <w:tcBorders>
              <w:top w:val="single" w:color="000000" w:sz="4" w:space="0"/>
              <w:left w:val="single" w:color="000000" w:sz="4" w:space="0"/>
              <w:bottom w:val="single" w:color="000000" w:sz="4" w:space="0"/>
              <w:right w:val="single" w:color="000000" w:sz="4" w:space="0"/>
            </w:tcBorders>
            <w:noWrap/>
          </w:tcPr>
          <w:p>
            <w:pPr>
              <w:pStyle w:val="105"/>
              <w:spacing w:before="89"/>
              <w:ind w:firstLine="1030" w:firstLineChars="500"/>
              <w:rPr>
                <w:rFonts w:ascii="宋体" w:hAnsi="宋体" w:cs="宋体"/>
                <w:szCs w:val="21"/>
              </w:rPr>
            </w:pPr>
            <w:r>
              <w:rPr>
                <w:rFonts w:ascii="宋体" w:hAnsi="宋体" w:cs="宋体"/>
                <w:spacing w:val="-2"/>
                <w:szCs w:val="21"/>
              </w:rPr>
              <w:t>生产厂名称、产品名称及类别、生产日期</w:t>
            </w:r>
          </w:p>
        </w:tc>
      </w:tr>
      <w:tr>
        <w:tblPrEx>
          <w:tblCellMar>
            <w:top w:w="0" w:type="dxa"/>
            <w:left w:w="0" w:type="dxa"/>
            <w:bottom w:w="0" w:type="dxa"/>
            <w:right w:w="0" w:type="dxa"/>
          </w:tblCellMar>
        </w:tblPrEx>
        <w:trPr>
          <w:trHeight w:val="432" w:hRule="exact"/>
        </w:trPr>
        <w:tc>
          <w:tcPr>
            <w:tcW w:w="1755" w:type="dxa"/>
            <w:tcBorders>
              <w:top w:val="single" w:color="000000" w:sz="4" w:space="0"/>
              <w:left w:val="single" w:color="000000" w:sz="4" w:space="0"/>
              <w:bottom w:val="single" w:color="000000" w:sz="4" w:space="0"/>
              <w:right w:val="single" w:color="000000" w:sz="4" w:space="0"/>
            </w:tcBorders>
            <w:noWrap/>
          </w:tcPr>
          <w:p>
            <w:pPr>
              <w:pStyle w:val="105"/>
              <w:spacing w:before="92"/>
              <w:ind w:left="447"/>
              <w:rPr>
                <w:rFonts w:ascii="宋体" w:hAnsi="宋体" w:cs="宋体"/>
                <w:szCs w:val="21"/>
              </w:rPr>
            </w:pPr>
            <w:r>
              <w:rPr>
                <w:rFonts w:ascii="宋体" w:hAnsi="宋体" w:cs="宋体"/>
                <w:spacing w:val="-1"/>
                <w:szCs w:val="21"/>
              </w:rPr>
              <w:t>标签内容</w:t>
            </w:r>
          </w:p>
        </w:tc>
        <w:tc>
          <w:tcPr>
            <w:tcW w:w="6150" w:type="dxa"/>
            <w:tcBorders>
              <w:top w:val="single" w:color="000000" w:sz="4" w:space="0"/>
              <w:left w:val="single" w:color="000000" w:sz="4" w:space="0"/>
              <w:bottom w:val="single" w:color="000000" w:sz="4" w:space="0"/>
              <w:right w:val="single" w:color="000000" w:sz="4" w:space="0"/>
            </w:tcBorders>
            <w:noWrap/>
          </w:tcPr>
          <w:p>
            <w:pPr>
              <w:pStyle w:val="105"/>
              <w:spacing w:before="92"/>
              <w:ind w:left="229" w:firstLine="412" w:firstLineChars="200"/>
              <w:rPr>
                <w:rFonts w:ascii="宋体" w:hAnsi="宋体" w:cs="宋体"/>
                <w:szCs w:val="21"/>
              </w:rPr>
            </w:pPr>
            <w:r>
              <w:rPr>
                <w:rFonts w:ascii="宋体" w:hAnsi="宋体" w:cs="宋体"/>
                <w:spacing w:val="-2"/>
                <w:szCs w:val="21"/>
              </w:rPr>
              <w:t>生产厂名称、产品名称及类别、交货批、生产日期</w:t>
            </w:r>
          </w:p>
        </w:tc>
      </w:tr>
    </w:tbl>
    <w:p>
      <w:pPr>
        <w:spacing w:before="5"/>
        <w:rPr>
          <w:rFonts w:eastAsia="Calibri" w:cs="Calibri"/>
          <w:sz w:val="5"/>
          <w:szCs w:val="5"/>
        </w:rPr>
      </w:pPr>
    </w:p>
    <w:p>
      <w:pPr>
        <w:pStyle w:val="15"/>
        <w:spacing w:line="360" w:lineRule="auto"/>
        <w:ind w:left="147" w:right="227"/>
        <w:jc w:val="left"/>
      </w:pPr>
      <w:r>
        <w:rPr>
          <w:rFonts w:ascii="Calibri" w:hAnsi="Calibri" w:eastAsia="Calibri" w:cs="Calibri"/>
        </w:rPr>
        <w:t>6.</w:t>
      </w:r>
      <w:r>
        <w:rPr>
          <w:rFonts w:hint="eastAsia" w:ascii="Calibri" w:hAnsi="Calibri" w:eastAsia="Calibri" w:cs="Calibri"/>
        </w:rPr>
        <w:t>5</w:t>
      </w:r>
      <w:r>
        <w:t>每批交货产品的质量证明书应随货交付给需方</w:t>
      </w:r>
      <w:r>
        <w:rPr>
          <w:spacing w:val="-41"/>
        </w:rPr>
        <w:t>，</w:t>
      </w:r>
      <w:r>
        <w:t>质量证明书上注明</w:t>
      </w:r>
      <w:r>
        <w:rPr>
          <w:rFonts w:ascii="Calibri" w:hAnsi="Calibri" w:eastAsia="Calibri" w:cs="Calibri"/>
        </w:rPr>
        <w:t>:</w:t>
      </w:r>
      <w:r>
        <w:t>生产厂名称</w:t>
      </w:r>
      <w:r>
        <w:rPr>
          <w:spacing w:val="-41"/>
        </w:rPr>
        <w:t>、</w:t>
      </w:r>
      <w:r>
        <w:t>产品名 称、理化指标、交货批件数、重量、粒度、出厂或生产日期、本规范编号或合同号等。</w:t>
      </w:r>
    </w:p>
    <w:p>
      <w:pPr>
        <w:tabs>
          <w:tab w:val="left" w:pos="735"/>
        </w:tabs>
        <w:spacing w:line="440" w:lineRule="exact"/>
        <w:ind w:left="734" w:hanging="733" w:hangingChars="262"/>
        <w:rPr>
          <w:rFonts w:asciiTheme="minorEastAsia" w:hAnsiTheme="minorEastAsia" w:eastAsiaTheme="minorEastAsia"/>
          <w:sz w:val="28"/>
          <w:szCs w:val="28"/>
        </w:rPr>
      </w:pPr>
      <w:r>
        <w:rPr>
          <w:rFonts w:hint="eastAsia" w:asciiTheme="minorEastAsia" w:hAnsiTheme="minorEastAsia" w:eastAsiaTheme="minorEastAsia"/>
          <w:sz w:val="28"/>
          <w:szCs w:val="28"/>
        </w:rPr>
        <w:t>7 优质优价标准：</w:t>
      </w:r>
    </w:p>
    <w:p>
      <w:pPr>
        <w:tabs>
          <w:tab w:val="left" w:pos="735"/>
        </w:tabs>
        <w:spacing w:line="440" w:lineRule="exact"/>
        <w:ind w:left="734" w:hanging="733" w:hangingChars="262"/>
        <w:rPr>
          <w:rFonts w:asciiTheme="minorEastAsia" w:hAnsiTheme="minorEastAsia" w:eastAsiaTheme="minorEastAsia"/>
          <w:sz w:val="28"/>
          <w:szCs w:val="28"/>
        </w:rPr>
      </w:pP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6"/>
        <w:gridCol w:w="1290"/>
        <w:gridCol w:w="1800"/>
        <w:gridCol w:w="249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6" w:type="dxa"/>
            <w:vMerge w:val="restart"/>
            <w:noWrap/>
            <w:textDirection w:val="tbRlV"/>
            <w:vAlign w:val="center"/>
          </w:tcPr>
          <w:p>
            <w:pPr>
              <w:spacing w:line="240" w:lineRule="exact"/>
              <w:jc w:val="center"/>
              <w:rPr>
                <w:rFonts w:ascii="宋体" w:hAnsi="宋体" w:cs="宋体"/>
                <w:szCs w:val="21"/>
              </w:rPr>
            </w:pPr>
            <w:r>
              <w:rPr>
                <w:rFonts w:hint="eastAsia" w:ascii="宋体" w:hAnsi="宋体" w:cs="宋体"/>
                <w:szCs w:val="21"/>
              </w:rPr>
              <w:t>高碱度覆盖剂</w:t>
            </w:r>
          </w:p>
        </w:tc>
        <w:tc>
          <w:tcPr>
            <w:tcW w:w="1086" w:type="dxa"/>
            <w:noWrap/>
            <w:vAlign w:val="center"/>
          </w:tcPr>
          <w:p>
            <w:pPr>
              <w:spacing w:line="240" w:lineRule="exact"/>
              <w:jc w:val="center"/>
              <w:rPr>
                <w:rFonts w:ascii="宋体" w:hAnsi="宋体" w:cs="宋体"/>
                <w:szCs w:val="21"/>
              </w:rPr>
            </w:pPr>
            <w:r>
              <w:rPr>
                <w:rFonts w:hint="eastAsia" w:ascii="宋体" w:hAnsi="宋体" w:cs="宋体"/>
                <w:szCs w:val="21"/>
              </w:rPr>
              <w:t>检测项目</w:t>
            </w:r>
          </w:p>
        </w:tc>
        <w:tc>
          <w:tcPr>
            <w:tcW w:w="1290" w:type="dxa"/>
            <w:noWrap/>
            <w:vAlign w:val="center"/>
          </w:tcPr>
          <w:p>
            <w:pPr>
              <w:spacing w:line="240" w:lineRule="exact"/>
              <w:jc w:val="center"/>
              <w:rPr>
                <w:rFonts w:ascii="宋体" w:hAnsi="宋体" w:cs="宋体"/>
                <w:szCs w:val="21"/>
              </w:rPr>
            </w:pPr>
            <w:r>
              <w:rPr>
                <w:rFonts w:hint="eastAsia" w:ascii="宋体" w:hAnsi="宋体" w:cs="宋体"/>
                <w:szCs w:val="21"/>
              </w:rPr>
              <w:t>技术要求</w:t>
            </w:r>
          </w:p>
        </w:tc>
        <w:tc>
          <w:tcPr>
            <w:tcW w:w="1800" w:type="dxa"/>
            <w:noWrap/>
            <w:vAlign w:val="center"/>
          </w:tcPr>
          <w:p>
            <w:pPr>
              <w:spacing w:line="240" w:lineRule="exact"/>
              <w:jc w:val="center"/>
              <w:rPr>
                <w:rFonts w:ascii="宋体" w:hAnsi="宋体" w:cs="宋体"/>
                <w:szCs w:val="21"/>
              </w:rPr>
            </w:pPr>
            <w:r>
              <w:rPr>
                <w:rFonts w:hint="eastAsia" w:ascii="宋体" w:hAnsi="宋体" w:cs="宋体"/>
                <w:szCs w:val="21"/>
              </w:rPr>
              <w:t>优质优价范围</w:t>
            </w:r>
          </w:p>
        </w:tc>
        <w:tc>
          <w:tcPr>
            <w:tcW w:w="2490" w:type="dxa"/>
            <w:noWrap/>
            <w:vAlign w:val="center"/>
          </w:tcPr>
          <w:p>
            <w:pPr>
              <w:spacing w:line="240" w:lineRule="exact"/>
              <w:jc w:val="center"/>
              <w:rPr>
                <w:rFonts w:ascii="宋体" w:hAnsi="宋体" w:cs="宋体"/>
                <w:szCs w:val="21"/>
              </w:rPr>
            </w:pPr>
            <w:r>
              <w:rPr>
                <w:rFonts w:hint="eastAsia" w:ascii="宋体" w:hAnsi="宋体" w:cs="宋体"/>
                <w:szCs w:val="21"/>
              </w:rPr>
              <w:t>优质优价考核标准</w:t>
            </w:r>
          </w:p>
        </w:tc>
        <w:tc>
          <w:tcPr>
            <w:tcW w:w="1917" w:type="dxa"/>
            <w:noWrap/>
            <w:vAlign w:val="center"/>
          </w:tcPr>
          <w:p>
            <w:pPr>
              <w:spacing w:line="240" w:lineRule="exact"/>
              <w:jc w:val="center"/>
              <w:rPr>
                <w:rFonts w:ascii="宋体" w:hAnsi="宋体" w:cs="宋体"/>
                <w:szCs w:val="21"/>
              </w:rPr>
            </w:pPr>
            <w:r>
              <w:rPr>
                <w:rFonts w:hint="eastAsia" w:ascii="宋体" w:hAnsi="宋体" w:cs="宋体"/>
                <w:szCs w:val="21"/>
              </w:rPr>
              <w:t>退货条件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vMerge w:val="continue"/>
            <w:noWrap/>
            <w:textDirection w:val="tbRlV"/>
            <w:vAlign w:val="center"/>
          </w:tcPr>
          <w:p>
            <w:pPr>
              <w:spacing w:line="240" w:lineRule="exact"/>
              <w:jc w:val="center"/>
              <w:rPr>
                <w:rFonts w:ascii="宋体" w:hAnsi="宋体" w:cs="宋体"/>
                <w:szCs w:val="21"/>
              </w:rPr>
            </w:pPr>
          </w:p>
        </w:tc>
        <w:tc>
          <w:tcPr>
            <w:tcW w:w="1086" w:type="dxa"/>
            <w:noWrap/>
            <w:vAlign w:val="center"/>
          </w:tcPr>
          <w:p>
            <w:pPr>
              <w:spacing w:line="240" w:lineRule="exact"/>
              <w:jc w:val="center"/>
              <w:rPr>
                <w:rFonts w:ascii="宋体" w:hAnsi="宋体" w:cs="宋体"/>
                <w:szCs w:val="21"/>
              </w:rPr>
            </w:pPr>
            <w:r>
              <w:rPr>
                <w:rFonts w:hint="eastAsia" w:ascii="宋体" w:hAnsi="宋体" w:cs="宋体"/>
                <w:szCs w:val="21"/>
              </w:rPr>
              <w:t>CaO，%</w:t>
            </w:r>
          </w:p>
        </w:tc>
        <w:tc>
          <w:tcPr>
            <w:tcW w:w="1290" w:type="dxa"/>
            <w:noWrap/>
            <w:vAlign w:val="center"/>
          </w:tcPr>
          <w:p>
            <w:pPr>
              <w:spacing w:line="240" w:lineRule="exact"/>
              <w:jc w:val="center"/>
              <w:rPr>
                <w:rFonts w:ascii="宋体" w:hAnsi="宋体" w:cs="宋体"/>
                <w:szCs w:val="21"/>
              </w:rPr>
            </w:pPr>
            <w:r>
              <w:rPr>
                <w:rFonts w:hint="eastAsia" w:ascii="宋体" w:hAnsi="宋体" w:cs="宋体"/>
                <w:szCs w:val="21"/>
              </w:rPr>
              <w:t>43～53</w:t>
            </w:r>
          </w:p>
        </w:tc>
        <w:tc>
          <w:tcPr>
            <w:tcW w:w="1800" w:type="dxa"/>
            <w:noWrap/>
            <w:vAlign w:val="center"/>
          </w:tcPr>
          <w:p>
            <w:pPr>
              <w:spacing w:line="240" w:lineRule="exact"/>
              <w:jc w:val="center"/>
              <w:rPr>
                <w:rFonts w:ascii="宋体" w:hAnsi="宋体" w:cs="宋体"/>
                <w:szCs w:val="21"/>
              </w:rPr>
            </w:pPr>
            <w:r>
              <w:rPr>
                <w:rFonts w:hint="eastAsia" w:ascii="宋体" w:hAnsi="宋体" w:cs="宋体"/>
                <w:szCs w:val="21"/>
              </w:rPr>
              <w:t xml:space="preserve">[41，43）  </w:t>
            </w:r>
          </w:p>
          <w:p>
            <w:pPr>
              <w:spacing w:line="240" w:lineRule="exact"/>
              <w:jc w:val="center"/>
              <w:rPr>
                <w:rFonts w:ascii="宋体" w:hAnsi="宋体" w:cs="宋体"/>
                <w:szCs w:val="21"/>
              </w:rPr>
            </w:pPr>
            <w:r>
              <w:rPr>
                <w:rFonts w:hint="eastAsia" w:ascii="宋体" w:hAnsi="宋体" w:cs="宋体"/>
                <w:szCs w:val="21"/>
              </w:rPr>
              <w:t xml:space="preserve"> (53，58]</w:t>
            </w:r>
          </w:p>
        </w:tc>
        <w:tc>
          <w:tcPr>
            <w:tcW w:w="2490" w:type="dxa"/>
            <w:noWrap/>
            <w:vAlign w:val="center"/>
          </w:tcPr>
          <w:p>
            <w:pPr>
              <w:spacing w:line="240" w:lineRule="exact"/>
              <w:jc w:val="center"/>
              <w:rPr>
                <w:rFonts w:ascii="宋体" w:hAnsi="宋体" w:cs="宋体"/>
                <w:szCs w:val="21"/>
              </w:rPr>
            </w:pPr>
            <w:r>
              <w:rPr>
                <w:rFonts w:hint="eastAsia" w:ascii="宋体" w:hAnsi="宋体" w:cs="宋体"/>
                <w:szCs w:val="21"/>
              </w:rPr>
              <w:t>扣30元/t/1%</w:t>
            </w:r>
          </w:p>
        </w:tc>
        <w:tc>
          <w:tcPr>
            <w:tcW w:w="1917" w:type="dxa"/>
            <w:noWrap/>
            <w:vAlign w:val="center"/>
          </w:tcPr>
          <w:p>
            <w:pPr>
              <w:spacing w:line="240" w:lineRule="exact"/>
              <w:jc w:val="center"/>
              <w:rPr>
                <w:rFonts w:ascii="宋体" w:hAnsi="宋体" w:cs="宋体"/>
                <w:szCs w:val="21"/>
              </w:rPr>
            </w:pPr>
            <w:r>
              <w:rPr>
                <w:rFonts w:hint="eastAsia" w:ascii="宋体" w:hAnsi="宋体" w:cs="宋体"/>
                <w:szCs w:val="21"/>
              </w:rPr>
              <w:t>＜41或＞58，如接收扣50元/t/1%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96" w:type="dxa"/>
            <w:vMerge w:val="continue"/>
            <w:noWrap/>
            <w:vAlign w:val="center"/>
          </w:tcPr>
          <w:p>
            <w:pPr>
              <w:spacing w:line="440" w:lineRule="exact"/>
              <w:jc w:val="center"/>
              <w:rPr>
                <w:rFonts w:ascii="宋体" w:hAnsi="宋体" w:cs="宋体"/>
                <w:szCs w:val="21"/>
              </w:rPr>
            </w:pPr>
          </w:p>
        </w:tc>
        <w:tc>
          <w:tcPr>
            <w:tcW w:w="1086" w:type="dxa"/>
            <w:noWrap/>
            <w:vAlign w:val="center"/>
          </w:tcPr>
          <w:p>
            <w:pPr>
              <w:spacing w:line="240" w:lineRule="exact"/>
              <w:jc w:val="center"/>
              <w:rPr>
                <w:rFonts w:ascii="宋体" w:hAnsi="宋体" w:cs="宋体"/>
                <w:szCs w:val="21"/>
              </w:rPr>
            </w:pPr>
            <w:r>
              <w:rPr>
                <w:rFonts w:hint="eastAsia" w:ascii="宋体" w:hAnsi="宋体" w:cs="宋体"/>
                <w:szCs w:val="21"/>
              </w:rPr>
              <w:t>Al2O3，%</w:t>
            </w:r>
          </w:p>
        </w:tc>
        <w:tc>
          <w:tcPr>
            <w:tcW w:w="1290" w:type="dxa"/>
            <w:noWrap/>
            <w:vAlign w:val="center"/>
          </w:tcPr>
          <w:p>
            <w:pPr>
              <w:spacing w:line="240" w:lineRule="exact"/>
              <w:jc w:val="center"/>
              <w:rPr>
                <w:rFonts w:ascii="宋体" w:hAnsi="宋体" w:cs="宋体"/>
                <w:szCs w:val="21"/>
              </w:rPr>
            </w:pPr>
            <w:r>
              <w:rPr>
                <w:rFonts w:hint="eastAsia" w:ascii="宋体" w:hAnsi="宋体" w:cs="宋体"/>
                <w:szCs w:val="21"/>
              </w:rPr>
              <w:t>35～45</w:t>
            </w:r>
          </w:p>
        </w:tc>
        <w:tc>
          <w:tcPr>
            <w:tcW w:w="1800" w:type="dxa"/>
            <w:noWrap/>
            <w:vAlign w:val="center"/>
          </w:tcPr>
          <w:p>
            <w:pPr>
              <w:spacing w:line="240" w:lineRule="exact"/>
              <w:jc w:val="center"/>
              <w:rPr>
                <w:rFonts w:ascii="宋体" w:hAnsi="宋体" w:cs="宋体"/>
                <w:szCs w:val="21"/>
              </w:rPr>
            </w:pPr>
            <w:r>
              <w:rPr>
                <w:rFonts w:hint="eastAsia" w:ascii="宋体" w:hAnsi="宋体" w:cs="宋体"/>
                <w:szCs w:val="21"/>
              </w:rPr>
              <w:t xml:space="preserve">[33，35）  </w:t>
            </w:r>
          </w:p>
          <w:p>
            <w:pPr>
              <w:spacing w:line="240" w:lineRule="exact"/>
              <w:jc w:val="center"/>
              <w:rPr>
                <w:rFonts w:ascii="宋体" w:hAnsi="宋体" w:cs="宋体"/>
                <w:szCs w:val="21"/>
              </w:rPr>
            </w:pPr>
            <w:r>
              <w:rPr>
                <w:rFonts w:hint="eastAsia" w:ascii="宋体" w:hAnsi="宋体" w:cs="宋体"/>
                <w:szCs w:val="21"/>
              </w:rPr>
              <w:t xml:space="preserve"> (45，48]</w:t>
            </w:r>
          </w:p>
        </w:tc>
        <w:tc>
          <w:tcPr>
            <w:tcW w:w="2490" w:type="dxa"/>
            <w:noWrap/>
            <w:vAlign w:val="center"/>
          </w:tcPr>
          <w:p>
            <w:pPr>
              <w:spacing w:line="240" w:lineRule="exact"/>
              <w:jc w:val="center"/>
              <w:rPr>
                <w:rFonts w:ascii="宋体" w:hAnsi="宋体" w:cs="宋体"/>
                <w:szCs w:val="21"/>
              </w:rPr>
            </w:pPr>
            <w:r>
              <w:rPr>
                <w:rFonts w:hint="eastAsia" w:ascii="宋体" w:hAnsi="宋体" w:cs="宋体"/>
                <w:szCs w:val="21"/>
              </w:rPr>
              <w:t>扣30元/t/1%</w:t>
            </w:r>
          </w:p>
        </w:tc>
        <w:tc>
          <w:tcPr>
            <w:tcW w:w="1917" w:type="dxa"/>
            <w:noWrap/>
            <w:vAlign w:val="center"/>
          </w:tcPr>
          <w:p>
            <w:pPr>
              <w:spacing w:line="240" w:lineRule="exact"/>
              <w:jc w:val="center"/>
              <w:rPr>
                <w:rFonts w:ascii="宋体" w:hAnsi="宋体" w:cs="宋体"/>
                <w:szCs w:val="21"/>
              </w:rPr>
            </w:pPr>
            <w:r>
              <w:rPr>
                <w:rFonts w:hint="eastAsia" w:ascii="宋体" w:hAnsi="宋体" w:cs="宋体"/>
                <w:szCs w:val="21"/>
              </w:rPr>
              <w:t>＜33或＞48，如接收扣50元/t/1%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96" w:type="dxa"/>
            <w:vMerge w:val="continue"/>
            <w:noWrap/>
            <w:vAlign w:val="center"/>
          </w:tcPr>
          <w:p>
            <w:pPr>
              <w:spacing w:line="440" w:lineRule="exact"/>
              <w:jc w:val="center"/>
              <w:rPr>
                <w:rFonts w:ascii="宋体" w:hAnsi="宋体" w:cs="宋体"/>
                <w:szCs w:val="21"/>
              </w:rPr>
            </w:pPr>
          </w:p>
        </w:tc>
        <w:tc>
          <w:tcPr>
            <w:tcW w:w="1086" w:type="dxa"/>
            <w:noWrap/>
            <w:vAlign w:val="center"/>
          </w:tcPr>
          <w:p>
            <w:pPr>
              <w:spacing w:line="240" w:lineRule="exact"/>
              <w:jc w:val="center"/>
              <w:rPr>
                <w:rFonts w:ascii="宋体" w:hAnsi="宋体" w:cs="宋体"/>
                <w:szCs w:val="21"/>
              </w:rPr>
            </w:pPr>
            <w:r>
              <w:rPr>
                <w:rFonts w:hint="eastAsia" w:ascii="宋体" w:hAnsi="宋体" w:cs="宋体"/>
                <w:szCs w:val="21"/>
              </w:rPr>
              <w:t>SiO2，%</w:t>
            </w:r>
          </w:p>
        </w:tc>
        <w:tc>
          <w:tcPr>
            <w:tcW w:w="1290" w:type="dxa"/>
            <w:noWrap/>
            <w:vAlign w:val="center"/>
          </w:tcPr>
          <w:p>
            <w:pPr>
              <w:spacing w:line="240" w:lineRule="exact"/>
              <w:jc w:val="center"/>
              <w:rPr>
                <w:rFonts w:ascii="宋体" w:hAnsi="宋体" w:cs="宋体"/>
                <w:szCs w:val="21"/>
              </w:rPr>
            </w:pPr>
            <w:r>
              <w:rPr>
                <w:rFonts w:hint="eastAsia" w:ascii="宋体" w:hAnsi="宋体" w:cs="宋体"/>
                <w:szCs w:val="21"/>
              </w:rPr>
              <w:t>≤5.0</w:t>
            </w:r>
          </w:p>
        </w:tc>
        <w:tc>
          <w:tcPr>
            <w:tcW w:w="1800" w:type="dxa"/>
            <w:noWrap/>
            <w:vAlign w:val="center"/>
          </w:tcPr>
          <w:p>
            <w:pPr>
              <w:spacing w:line="240" w:lineRule="exact"/>
              <w:jc w:val="center"/>
              <w:rPr>
                <w:rFonts w:ascii="宋体" w:hAnsi="宋体" w:cs="宋体"/>
                <w:szCs w:val="21"/>
              </w:rPr>
            </w:pPr>
            <w:r>
              <w:rPr>
                <w:rFonts w:hint="eastAsia" w:ascii="宋体" w:hAnsi="宋体" w:cs="宋体"/>
                <w:szCs w:val="21"/>
              </w:rPr>
              <w:t>(5.0，6.0]</w:t>
            </w:r>
          </w:p>
        </w:tc>
        <w:tc>
          <w:tcPr>
            <w:tcW w:w="2490" w:type="dxa"/>
            <w:noWrap/>
            <w:vAlign w:val="center"/>
          </w:tcPr>
          <w:p>
            <w:pPr>
              <w:spacing w:line="240" w:lineRule="exact"/>
              <w:jc w:val="center"/>
              <w:rPr>
                <w:rFonts w:ascii="宋体" w:hAnsi="宋体" w:cs="宋体"/>
                <w:szCs w:val="21"/>
              </w:rPr>
            </w:pPr>
            <w:r>
              <w:rPr>
                <w:rFonts w:hint="eastAsia" w:ascii="宋体" w:hAnsi="宋体" w:cs="宋体"/>
                <w:szCs w:val="21"/>
              </w:rPr>
              <w:t>扣50元/t/1%</w:t>
            </w:r>
          </w:p>
        </w:tc>
        <w:tc>
          <w:tcPr>
            <w:tcW w:w="1917" w:type="dxa"/>
            <w:noWrap/>
            <w:vAlign w:val="center"/>
          </w:tcPr>
          <w:p>
            <w:pPr>
              <w:spacing w:line="240" w:lineRule="exact"/>
              <w:jc w:val="center"/>
              <w:rPr>
                <w:rFonts w:ascii="宋体" w:hAnsi="宋体" w:cs="宋体"/>
                <w:szCs w:val="21"/>
              </w:rPr>
            </w:pPr>
            <w:r>
              <w:rPr>
                <w:rFonts w:hint="eastAsia" w:ascii="宋体" w:hAnsi="宋体" w:cs="宋体"/>
                <w:szCs w:val="21"/>
              </w:rPr>
              <w:t>＞6.0，如接收扣100元/t/1%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6" w:type="dxa"/>
            <w:vMerge w:val="continue"/>
            <w:noWrap/>
            <w:vAlign w:val="center"/>
          </w:tcPr>
          <w:p>
            <w:pPr>
              <w:spacing w:line="440" w:lineRule="exact"/>
              <w:jc w:val="center"/>
              <w:rPr>
                <w:rFonts w:ascii="宋体" w:hAnsi="宋体" w:cs="宋体"/>
                <w:szCs w:val="21"/>
              </w:rPr>
            </w:pPr>
          </w:p>
        </w:tc>
        <w:tc>
          <w:tcPr>
            <w:tcW w:w="1086" w:type="dxa"/>
            <w:noWrap/>
            <w:vAlign w:val="center"/>
          </w:tcPr>
          <w:p>
            <w:pPr>
              <w:spacing w:line="240" w:lineRule="exact"/>
              <w:jc w:val="center"/>
              <w:rPr>
                <w:rFonts w:ascii="宋体" w:hAnsi="宋体" w:cs="宋体"/>
                <w:szCs w:val="21"/>
              </w:rPr>
            </w:pPr>
            <w:r>
              <w:rPr>
                <w:rFonts w:hint="eastAsia" w:ascii="宋体" w:hAnsi="宋体" w:cs="宋体"/>
                <w:szCs w:val="21"/>
              </w:rPr>
              <w:t>MgO，%</w:t>
            </w:r>
          </w:p>
        </w:tc>
        <w:tc>
          <w:tcPr>
            <w:tcW w:w="1290" w:type="dxa"/>
            <w:noWrap/>
            <w:vAlign w:val="center"/>
          </w:tcPr>
          <w:p>
            <w:pPr>
              <w:spacing w:line="240" w:lineRule="exact"/>
              <w:jc w:val="center"/>
              <w:rPr>
                <w:rFonts w:ascii="宋体" w:hAnsi="宋体" w:cs="宋体"/>
                <w:szCs w:val="21"/>
              </w:rPr>
            </w:pPr>
            <w:r>
              <w:rPr>
                <w:rFonts w:hint="eastAsia" w:ascii="宋体" w:hAnsi="宋体" w:cs="宋体"/>
                <w:szCs w:val="21"/>
              </w:rPr>
              <w:t>≤5.0</w:t>
            </w:r>
          </w:p>
        </w:tc>
        <w:tc>
          <w:tcPr>
            <w:tcW w:w="1800" w:type="dxa"/>
            <w:noWrap/>
            <w:vAlign w:val="center"/>
          </w:tcPr>
          <w:p>
            <w:pPr>
              <w:spacing w:line="240" w:lineRule="exact"/>
              <w:jc w:val="center"/>
              <w:rPr>
                <w:rFonts w:ascii="宋体" w:hAnsi="宋体" w:cs="宋体"/>
                <w:szCs w:val="21"/>
              </w:rPr>
            </w:pPr>
            <w:r>
              <w:rPr>
                <w:rFonts w:hint="eastAsia" w:ascii="宋体" w:hAnsi="宋体" w:cs="宋体"/>
                <w:szCs w:val="21"/>
              </w:rPr>
              <w:t>(5.0，7.0]</w:t>
            </w:r>
          </w:p>
        </w:tc>
        <w:tc>
          <w:tcPr>
            <w:tcW w:w="2490" w:type="dxa"/>
            <w:noWrap/>
            <w:vAlign w:val="center"/>
          </w:tcPr>
          <w:p>
            <w:pPr>
              <w:spacing w:line="240" w:lineRule="exact"/>
              <w:jc w:val="center"/>
              <w:rPr>
                <w:rFonts w:ascii="宋体" w:hAnsi="宋体" w:cs="宋体"/>
                <w:szCs w:val="21"/>
              </w:rPr>
            </w:pPr>
            <w:r>
              <w:rPr>
                <w:rFonts w:hint="eastAsia" w:ascii="宋体" w:hAnsi="宋体" w:cs="宋体"/>
                <w:szCs w:val="21"/>
              </w:rPr>
              <w:t>扣50元/t/1%</w:t>
            </w:r>
          </w:p>
        </w:tc>
        <w:tc>
          <w:tcPr>
            <w:tcW w:w="1917" w:type="dxa"/>
            <w:noWrap/>
            <w:vAlign w:val="center"/>
          </w:tcPr>
          <w:p>
            <w:pPr>
              <w:spacing w:line="240" w:lineRule="exact"/>
              <w:jc w:val="center"/>
              <w:rPr>
                <w:rFonts w:ascii="宋体" w:hAnsi="宋体" w:cs="宋体"/>
                <w:szCs w:val="21"/>
              </w:rPr>
            </w:pPr>
            <w:r>
              <w:rPr>
                <w:rFonts w:hint="eastAsia" w:ascii="宋体" w:hAnsi="宋体" w:cs="宋体"/>
                <w:szCs w:val="21"/>
              </w:rPr>
              <w:t>＞7.0，如接收扣100元/t/1%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6" w:type="dxa"/>
            <w:vMerge w:val="continue"/>
            <w:noWrap/>
            <w:vAlign w:val="center"/>
          </w:tcPr>
          <w:p>
            <w:pPr>
              <w:spacing w:line="440" w:lineRule="exact"/>
              <w:jc w:val="center"/>
              <w:rPr>
                <w:rFonts w:ascii="宋体" w:hAnsi="宋体" w:cs="宋体"/>
                <w:szCs w:val="21"/>
              </w:rPr>
            </w:pPr>
          </w:p>
        </w:tc>
        <w:tc>
          <w:tcPr>
            <w:tcW w:w="1086" w:type="dxa"/>
            <w:noWrap/>
            <w:vAlign w:val="center"/>
          </w:tcPr>
          <w:p>
            <w:pPr>
              <w:spacing w:line="240" w:lineRule="exact"/>
              <w:jc w:val="center"/>
              <w:rPr>
                <w:rFonts w:ascii="宋体" w:hAnsi="宋体" w:cs="宋体"/>
                <w:szCs w:val="21"/>
              </w:rPr>
            </w:pPr>
            <w:r>
              <w:rPr>
                <w:rFonts w:hint="eastAsia" w:ascii="宋体" w:hAnsi="宋体" w:cs="宋体"/>
                <w:szCs w:val="21"/>
              </w:rPr>
              <w:t>Fe2O3，%</w:t>
            </w:r>
          </w:p>
        </w:tc>
        <w:tc>
          <w:tcPr>
            <w:tcW w:w="1290" w:type="dxa"/>
            <w:noWrap/>
            <w:vAlign w:val="center"/>
          </w:tcPr>
          <w:p>
            <w:pPr>
              <w:spacing w:line="240" w:lineRule="exact"/>
              <w:jc w:val="center"/>
              <w:rPr>
                <w:rFonts w:ascii="宋体" w:hAnsi="宋体" w:cs="宋体"/>
                <w:szCs w:val="21"/>
              </w:rPr>
            </w:pPr>
            <w:r>
              <w:rPr>
                <w:rFonts w:hint="eastAsia" w:ascii="宋体" w:hAnsi="宋体" w:cs="宋体"/>
                <w:szCs w:val="21"/>
              </w:rPr>
              <w:t>≤1.5</w:t>
            </w:r>
          </w:p>
        </w:tc>
        <w:tc>
          <w:tcPr>
            <w:tcW w:w="1800" w:type="dxa"/>
            <w:noWrap/>
            <w:vAlign w:val="center"/>
          </w:tcPr>
          <w:p>
            <w:pPr>
              <w:spacing w:line="240" w:lineRule="exact"/>
              <w:jc w:val="center"/>
              <w:rPr>
                <w:rFonts w:ascii="宋体" w:hAnsi="宋体" w:cs="宋体"/>
                <w:szCs w:val="21"/>
              </w:rPr>
            </w:pPr>
            <w:r>
              <w:rPr>
                <w:rFonts w:hint="eastAsia" w:ascii="宋体" w:hAnsi="宋体" w:cs="宋体"/>
                <w:szCs w:val="21"/>
              </w:rPr>
              <w:t>(1.5，3.5]</w:t>
            </w:r>
          </w:p>
        </w:tc>
        <w:tc>
          <w:tcPr>
            <w:tcW w:w="2490" w:type="dxa"/>
            <w:noWrap/>
            <w:vAlign w:val="center"/>
          </w:tcPr>
          <w:p>
            <w:pPr>
              <w:spacing w:line="240" w:lineRule="exact"/>
              <w:jc w:val="center"/>
              <w:rPr>
                <w:rFonts w:ascii="宋体" w:hAnsi="宋体" w:cs="宋体"/>
                <w:szCs w:val="21"/>
              </w:rPr>
            </w:pPr>
            <w:r>
              <w:rPr>
                <w:rFonts w:hint="eastAsia" w:ascii="宋体" w:hAnsi="宋体" w:cs="宋体"/>
                <w:szCs w:val="21"/>
              </w:rPr>
              <w:t>扣100元/t/1%</w:t>
            </w:r>
          </w:p>
        </w:tc>
        <w:tc>
          <w:tcPr>
            <w:tcW w:w="1917" w:type="dxa"/>
            <w:noWrap/>
            <w:vAlign w:val="center"/>
          </w:tcPr>
          <w:p>
            <w:pPr>
              <w:spacing w:line="240" w:lineRule="exact"/>
              <w:jc w:val="center"/>
              <w:rPr>
                <w:rFonts w:ascii="宋体" w:hAnsi="宋体" w:cs="宋体"/>
                <w:szCs w:val="21"/>
              </w:rPr>
            </w:pPr>
            <w:r>
              <w:rPr>
                <w:rFonts w:hint="eastAsia" w:ascii="宋体" w:hAnsi="宋体" w:cs="宋体"/>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96" w:type="dxa"/>
            <w:vMerge w:val="continue"/>
            <w:noWrap/>
            <w:vAlign w:val="center"/>
          </w:tcPr>
          <w:p>
            <w:pPr>
              <w:spacing w:line="440" w:lineRule="exact"/>
              <w:jc w:val="center"/>
              <w:rPr>
                <w:rFonts w:ascii="宋体" w:hAnsi="宋体" w:cs="宋体"/>
                <w:szCs w:val="21"/>
              </w:rPr>
            </w:pPr>
          </w:p>
        </w:tc>
        <w:tc>
          <w:tcPr>
            <w:tcW w:w="1086" w:type="dxa"/>
            <w:noWrap/>
            <w:vAlign w:val="center"/>
          </w:tcPr>
          <w:p>
            <w:pPr>
              <w:spacing w:line="240" w:lineRule="exact"/>
              <w:jc w:val="center"/>
              <w:rPr>
                <w:rFonts w:ascii="宋体" w:hAnsi="宋体" w:cs="宋体"/>
                <w:szCs w:val="21"/>
              </w:rPr>
            </w:pPr>
            <w:r>
              <w:rPr>
                <w:rFonts w:hint="eastAsia" w:ascii="宋体" w:hAnsi="宋体" w:cs="宋体"/>
                <w:szCs w:val="21"/>
              </w:rPr>
              <w:t>C，%</w:t>
            </w:r>
          </w:p>
        </w:tc>
        <w:tc>
          <w:tcPr>
            <w:tcW w:w="1290" w:type="dxa"/>
            <w:noWrap/>
            <w:vAlign w:val="center"/>
          </w:tcPr>
          <w:p>
            <w:pPr>
              <w:spacing w:line="240" w:lineRule="exact"/>
              <w:jc w:val="center"/>
              <w:rPr>
                <w:rFonts w:ascii="宋体" w:hAnsi="宋体" w:cs="宋体"/>
                <w:szCs w:val="21"/>
              </w:rPr>
            </w:pPr>
            <w:r>
              <w:rPr>
                <w:rFonts w:hint="eastAsia" w:ascii="宋体" w:hAnsi="宋体" w:cs="宋体"/>
                <w:szCs w:val="21"/>
              </w:rPr>
              <w:t>≤3.0</w:t>
            </w:r>
          </w:p>
        </w:tc>
        <w:tc>
          <w:tcPr>
            <w:tcW w:w="1800" w:type="dxa"/>
            <w:noWrap/>
            <w:vAlign w:val="center"/>
          </w:tcPr>
          <w:p>
            <w:pPr>
              <w:spacing w:line="240" w:lineRule="exact"/>
              <w:jc w:val="center"/>
              <w:rPr>
                <w:rFonts w:ascii="宋体" w:hAnsi="宋体" w:cs="宋体"/>
                <w:szCs w:val="21"/>
              </w:rPr>
            </w:pPr>
            <w:r>
              <w:rPr>
                <w:rFonts w:hint="eastAsia" w:ascii="宋体" w:hAnsi="宋体" w:cs="宋体"/>
                <w:szCs w:val="21"/>
              </w:rPr>
              <w:t>(3.0，5.0]</w:t>
            </w:r>
          </w:p>
        </w:tc>
        <w:tc>
          <w:tcPr>
            <w:tcW w:w="2490" w:type="dxa"/>
            <w:noWrap/>
            <w:vAlign w:val="center"/>
          </w:tcPr>
          <w:p>
            <w:pPr>
              <w:spacing w:line="240" w:lineRule="exact"/>
              <w:jc w:val="center"/>
              <w:rPr>
                <w:rFonts w:ascii="宋体" w:hAnsi="宋体" w:cs="宋体"/>
                <w:szCs w:val="21"/>
              </w:rPr>
            </w:pPr>
            <w:r>
              <w:rPr>
                <w:rFonts w:hint="eastAsia" w:ascii="宋体" w:hAnsi="宋体" w:cs="宋体"/>
                <w:szCs w:val="21"/>
              </w:rPr>
              <w:t>扣100元/t/1%</w:t>
            </w:r>
          </w:p>
        </w:tc>
        <w:tc>
          <w:tcPr>
            <w:tcW w:w="1917" w:type="dxa"/>
            <w:noWrap/>
            <w:vAlign w:val="center"/>
          </w:tcPr>
          <w:p>
            <w:pPr>
              <w:spacing w:line="240" w:lineRule="exact"/>
              <w:jc w:val="center"/>
              <w:rPr>
                <w:rFonts w:ascii="宋体" w:hAnsi="宋体" w:cs="宋体"/>
                <w:szCs w:val="21"/>
              </w:rPr>
            </w:pPr>
            <w:r>
              <w:rPr>
                <w:rFonts w:hint="eastAsia" w:ascii="宋体" w:hAnsi="宋体" w:cs="宋体"/>
                <w:szCs w:val="21"/>
              </w:rPr>
              <w:t>＞5.0，如接收扣</w:t>
            </w:r>
            <w:r>
              <w:rPr>
                <w:rFonts w:hint="eastAsia" w:ascii="宋体" w:hAnsi="宋体" w:cs="宋体"/>
                <w:szCs w:val="21"/>
                <w:lang w:val="en-US" w:eastAsia="zh-CN"/>
              </w:rPr>
              <w:t>2</w:t>
            </w:r>
            <w:r>
              <w:rPr>
                <w:rFonts w:hint="eastAsia" w:ascii="宋体" w:hAnsi="宋体" w:cs="宋体"/>
                <w:szCs w:val="21"/>
              </w:rPr>
              <w:t>00元/t/1%</w:t>
            </w:r>
          </w:p>
        </w:tc>
      </w:tr>
    </w:tbl>
    <w:p>
      <w:pPr>
        <w:rPr>
          <w:rFonts w:asciiTheme="minorEastAsia" w:hAnsiTheme="minorEastAsia" w:eastAsiaTheme="minorEastAsia"/>
        </w:rPr>
      </w:pPr>
      <w:r>
        <w:rPr>
          <w:rFonts w:hint="eastAsia" w:asciiTheme="minorEastAsia" w:hAnsiTheme="minorEastAsia" w:eastAsiaTheme="minorEastAsia"/>
        </w:rPr>
        <w:br w:type="page"/>
      </w:r>
    </w:p>
    <w:p>
      <w:pPr>
        <w:pStyle w:val="35"/>
        <w:rPr>
          <w:rFonts w:asciiTheme="minorEastAsia" w:hAnsiTheme="minorEastAsia" w:eastAsiaTheme="minorEastAsia"/>
        </w:rPr>
      </w:pPr>
      <w:r>
        <w:rPr>
          <w:rFonts w:hint="eastAsia" w:asciiTheme="minorEastAsia" w:hAnsiTheme="minorEastAsia" w:eastAsiaTheme="minorEastAsia"/>
        </w:rPr>
        <w:t>第五章 合同条款及格式</w:t>
      </w:r>
      <w:bookmarkEnd w:id="13"/>
    </w:p>
    <w:p>
      <w:pPr>
        <w:pStyle w:val="2"/>
        <w:spacing w:before="0" w:after="0"/>
        <w:ind w:left="810"/>
        <w:jc w:val="center"/>
        <w:rPr>
          <w:rFonts w:asciiTheme="minorEastAsia" w:hAnsiTheme="minorEastAsia" w:eastAsiaTheme="minorEastAsia"/>
          <w:b w:val="0"/>
          <w:sz w:val="28"/>
          <w:szCs w:val="28"/>
        </w:rPr>
      </w:pPr>
    </w:p>
    <w:p>
      <w:pPr>
        <w:pStyle w:val="15"/>
        <w:tabs>
          <w:tab w:val="left" w:pos="840"/>
        </w:tabs>
        <w:spacing w:line="440" w:lineRule="exact"/>
        <w:ind w:left="432" w:hanging="43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     定  义</w:t>
      </w:r>
    </w:p>
    <w:p>
      <w:pPr>
        <w:spacing w:line="440" w:lineRule="exact"/>
        <w:ind w:left="840" w:leftChars="400"/>
        <w:rPr>
          <w:rFonts w:asciiTheme="minorEastAsia" w:hAnsiTheme="minorEastAsia" w:eastAsiaTheme="minorEastAsia"/>
          <w:sz w:val="28"/>
          <w:szCs w:val="28"/>
        </w:rPr>
      </w:pPr>
      <w:r>
        <w:rPr>
          <w:rFonts w:hint="eastAsia" w:asciiTheme="minorEastAsia" w:hAnsiTheme="minorEastAsia" w:eastAsiaTheme="minorEastAsia"/>
          <w:sz w:val="28"/>
          <w:szCs w:val="28"/>
        </w:rPr>
        <w:t>除非本合同上下文中另有规定，下列词语各有如下定义：</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“买方”是指：衡阳华菱钢管（连轧管）有限公司</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“卖方”是指：供应商</w:t>
      </w:r>
    </w:p>
    <w:p>
      <w:pPr>
        <w:numPr>
          <w:ilvl w:val="1"/>
          <w:numId w:val="4"/>
        </w:numPr>
        <w:tabs>
          <w:tab w:val="left" w:pos="567"/>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“合同”是指由买方和卖方（以下简称“双方”）签署的本合同和合同附件 (以下简称“附件”)</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“合同货币”是指在本合同项下的支付中所用的货币，即人民币。   </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“合同设备”是指本合同项下的产品及服务。   </w:t>
      </w:r>
    </w:p>
    <w:p>
      <w:pPr>
        <w:numPr>
          <w:ilvl w:val="1"/>
          <w:numId w:val="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“合同价格”是指在卖方已经充分和适当地履行了其合同义务后，买方根据合同规定支付给卖方的价款。该价款不受价格波动的影响。   </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“天”是指日历天数。</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“月”是指日历月数。</w:t>
      </w:r>
    </w:p>
    <w:p>
      <w:pPr>
        <w:pStyle w:val="15"/>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     价  格</w:t>
      </w:r>
    </w:p>
    <w:p>
      <w:pPr>
        <w:numPr>
          <w:ilvl w:val="1"/>
          <w:numId w:val="5"/>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本合同为固定单价，合同价为  ______人民币   （大写__________）</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该合同价格是含税固定价格。</w:t>
      </w:r>
    </w:p>
    <w:p>
      <w:pPr>
        <w:pStyle w:val="15"/>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     支  付</w:t>
      </w:r>
    </w:p>
    <w:p>
      <w:pPr>
        <w:numPr>
          <w:ilvl w:val="1"/>
          <w:numId w:val="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货到验收合格，供方开具13%的增值税发票交需方财务入账后，按买方周期付款方式以承兑汇票方式付款。</w:t>
      </w:r>
    </w:p>
    <w:p>
      <w:pPr>
        <w:numPr>
          <w:ilvl w:val="1"/>
          <w:numId w:val="6"/>
        </w:numPr>
        <w:tabs>
          <w:tab w:val="left" w:pos="840"/>
          <w:tab w:val="clear" w:pos="48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sz w:val="28"/>
          <w:szCs w:val="28"/>
        </w:rPr>
        <w:t>支付方式:一般为承兑汇票。</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bCs/>
          <w:sz w:val="28"/>
          <w:szCs w:val="28"/>
        </w:rPr>
        <w:t>4     保  证</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卖方保证合同设备（备件）是全新的、技术上先进的、质量上优越的、没有设计、材料及工艺上的缺陷、适合于合同规定的用途和目的并且符合规定。</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卖方保证所交付的资料应是完整的、清楚的和正确的，并且能够满足合同材料使用、检测、验收要求。</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5     迟交违约</w:t>
      </w:r>
    </w:p>
    <w:p>
      <w:pPr>
        <w:numPr>
          <w:ilvl w:val="1"/>
          <w:numId w:val="8"/>
        </w:numPr>
        <w:tabs>
          <w:tab w:val="left" w:pos="840"/>
          <w:tab w:val="clear" w:pos="480"/>
        </w:tabs>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除非因不可抗力，如果卖方未能及时交货（付），卖方应按以下比例和方式支付迟交违约金：</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迟交的第一周，每天支付的违约金为合同金额的1％；</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从迟交的第二周到第三周，每天支付的违约金为合同设备金额的1.2％；</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迟交三周以上的，每天支付的违约金为合同设备金额的1.5％。</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违约金总额不超过合同金额的20％。</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迟交违约金的支付并不能免除卖方继续交付相关合同材料的义务。</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6     索  赔</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如果合同设备（备件）在检验、性能考核和保证期内由于卖方的原因未能达到合同规定的技术指标，买方有权向卖方提出索赔，并且卖方应经买方同意以下列方式进行理赔：</w:t>
      </w:r>
    </w:p>
    <w:p>
      <w:pPr>
        <w:numPr>
          <w:ilvl w:val="2"/>
          <w:numId w:val="11"/>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同意拒收货物和退还合同价款，并且承担相关的损失和费用包括利息、银行费用、运费、保费、检验费、仓储费、装卸费以及其它保管和维护被拒收货物必需的费用。</w:t>
      </w:r>
    </w:p>
    <w:p>
      <w:pPr>
        <w:numPr>
          <w:ilvl w:val="2"/>
          <w:numId w:val="11"/>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按质量低劣的程度、买方受损害的程度及损失的多少对材料进行降价，如果无法使用卖方必须无条件更换新材料；</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如果卖方在收到买方索赔要求后，未在买方要求的期限内未能做出回复，该索赔要求将被视为已被卖方接受。</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如果卖方在收到买方索赔通知未按买方要求的期限内未能按照上述一种或多种方法以买方同意的方式解决买方的索赔，买方有权从议付款项中扣除索赔金额。</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7     不可抗力</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双方当事人应在不可抗力事件结束或其影响消除后立即继续履行其合同义务，合同期限也应相应延长。</w:t>
      </w:r>
      <w:r>
        <w:rPr>
          <w:rFonts w:hint="eastAsia" w:cs="宋体" w:asciiTheme="minorEastAsia" w:hAnsiTheme="minorEastAsia" w:eastAsiaTheme="minorEastAsia"/>
          <w:kern w:val="0"/>
          <w:sz w:val="28"/>
          <w:szCs w:val="28"/>
        </w:rPr>
        <w:t>如果不可抗力事件的影响持续超过</w:t>
      </w:r>
      <w:r>
        <w:rPr>
          <w:rFonts w:cs="宋体" w:asciiTheme="minorEastAsia" w:hAnsiTheme="minorEastAsia" w:eastAsiaTheme="minorEastAsia"/>
          <w:kern w:val="0"/>
          <w:sz w:val="28"/>
          <w:szCs w:val="28"/>
        </w:rPr>
        <w:t>60</w:t>
      </w:r>
      <w:r>
        <w:rPr>
          <w:rFonts w:hint="eastAsia" w:cs="宋体" w:asciiTheme="minorEastAsia" w:hAnsiTheme="minorEastAsia" w:eastAsiaTheme="minorEastAsia"/>
          <w:kern w:val="0"/>
          <w:sz w:val="28"/>
          <w:szCs w:val="28"/>
        </w:rPr>
        <w:t>天，任何一方当事人均有权终止合同并互不承担责任。</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8     税  费</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中国政府根据中国税法对买方征收的与执行合同有关的一切税费，均应由买方负担。</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中国政府根据中国税法对卖方征收的与执行合同有关的一切税费，均应由卖方负担</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在中国境外发生的与执行合同有关的一切税费，均由卖方负担。</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9    诉  讼</w:t>
      </w:r>
    </w:p>
    <w:p>
      <w:pPr>
        <w:numPr>
          <w:ilvl w:val="1"/>
          <w:numId w:val="1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因执行本合同所发生的和与本合同有关的一切争议将由双方当事人通过友好协商解决。如果不能协商一致，应将争议提交合同签订地人民法院解决。</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10    合同生效及其他</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本合同经双方法定代表人或授权代表签字盖章后生效。</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合同到期后，合同项下任何尚未了结的债权和债务不受合同到期的影响。债务人仍有义务向债权人履行其义务。</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本合同一式    份，双方当事人各执     份。</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本合同的附件为本合同不可分割的组成部分，并具有与合同正文同样的法律效力。如果附件与合同正文不一致，合同正文效力优先。</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对本合同条款的任何补充、增添或修改应以书面方式进行并由双方授权代表签字。</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没有另一方当事人的事先同意，任何一方当事人不得将合同项下的任何权利和义务转让给第三方。</w:t>
      </w:r>
    </w:p>
    <w:p>
      <w:pPr>
        <w:numPr>
          <w:ilvl w:val="1"/>
          <w:numId w:val="15"/>
        </w:numPr>
        <w:tabs>
          <w:tab w:val="left" w:pos="840"/>
          <w:tab w:val="clear" w:pos="480"/>
        </w:tabs>
        <w:spacing w:line="30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合同签订地：衡阳华菱钢管（连轧管）有限公司。</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pStyle w:val="35"/>
        <w:rPr>
          <w:rFonts w:asciiTheme="minorEastAsia" w:hAnsiTheme="minorEastAsia" w:eastAsiaTheme="minorEastAsia"/>
          <w:b w:val="0"/>
          <w:sz w:val="28"/>
          <w:szCs w:val="28"/>
        </w:rPr>
      </w:pPr>
      <w:r>
        <w:rPr>
          <w:rFonts w:asciiTheme="minorEastAsia" w:hAnsiTheme="minorEastAsia" w:eastAsiaTheme="minorEastAsia"/>
          <w:sz w:val="28"/>
          <w:szCs w:val="28"/>
        </w:rPr>
        <w:br w:type="page"/>
      </w:r>
      <w:bookmarkStart w:id="14" w:name="_Toc303864998"/>
      <w:bookmarkStart w:id="15" w:name="_Toc300678565"/>
    </w:p>
    <w:p>
      <w:pPr>
        <w:widowControl/>
        <w:jc w:val="left"/>
        <w:rPr>
          <w:rFonts w:asciiTheme="minorEastAsia" w:hAnsiTheme="minorEastAsia" w:eastAsiaTheme="minorEastAsia"/>
          <w:b/>
          <w:sz w:val="28"/>
          <w:szCs w:val="28"/>
        </w:rPr>
      </w:pPr>
    </w:p>
    <w:p>
      <w:pPr>
        <w:widowControl/>
        <w:jc w:val="left"/>
        <w:rPr>
          <w:rFonts w:asciiTheme="minorEastAsia" w:hAnsiTheme="minorEastAsia" w:eastAsiaTheme="minorEastAsia"/>
          <w:b/>
          <w:sz w:val="28"/>
          <w:szCs w:val="28"/>
        </w:rPr>
      </w:pPr>
    </w:p>
    <w:p>
      <w:pPr>
        <w:widowControl/>
        <w:ind w:firstLine="2901" w:firstLineChars="344"/>
        <w:jc w:val="left"/>
        <w:rPr>
          <w:rFonts w:asciiTheme="minorEastAsia" w:hAnsiTheme="minorEastAsia" w:eastAsiaTheme="minorEastAsia"/>
          <w:b/>
          <w:sz w:val="84"/>
          <w:szCs w:val="84"/>
        </w:rPr>
      </w:pPr>
      <w:r>
        <w:rPr>
          <w:rFonts w:hint="eastAsia" w:asciiTheme="minorEastAsia" w:hAnsiTheme="minorEastAsia" w:eastAsiaTheme="minorEastAsia"/>
          <w:b/>
          <w:kern w:val="0"/>
          <w:sz w:val="84"/>
          <w:szCs w:val="84"/>
        </w:rPr>
        <w:t>投标文件</w:t>
      </w:r>
    </w:p>
    <w:p>
      <w:pPr>
        <w:pStyle w:val="35"/>
        <w:rPr>
          <w:rFonts w:asciiTheme="minorEastAsia" w:hAnsiTheme="minorEastAsia" w:eastAsiaTheme="minorEastAsia"/>
          <w:kern w:val="0"/>
          <w:sz w:val="28"/>
          <w:szCs w:val="28"/>
        </w:rPr>
      </w:pPr>
    </w:p>
    <w:p>
      <w:pPr>
        <w:pStyle w:val="2"/>
        <w:jc w:val="center"/>
        <w:rPr>
          <w:rFonts w:asciiTheme="minorEastAsia" w:hAnsiTheme="minorEastAsia" w:eastAsiaTheme="minorEastAsia"/>
          <w:b w:val="0"/>
          <w:sz w:val="28"/>
          <w:szCs w:val="28"/>
        </w:rPr>
      </w:pPr>
    </w:p>
    <w:p>
      <w:pPr>
        <w:rPr>
          <w:rFonts w:asciiTheme="minorEastAsia" w:hAnsiTheme="minorEastAsia" w:eastAsiaTheme="minorEastAsia"/>
        </w:rPr>
      </w:pPr>
    </w:p>
    <w:p>
      <w:pPr>
        <w:rPr>
          <w:rFonts w:asciiTheme="minorEastAsia" w:hAnsiTheme="minorEastAsia" w:eastAsiaTheme="minorEastAsia"/>
        </w:rPr>
      </w:pPr>
    </w:p>
    <w:p>
      <w:pPr>
        <w:jc w:val="left"/>
        <w:rPr>
          <w:rFonts w:asciiTheme="minorEastAsia" w:hAnsiTheme="minorEastAsia" w:eastAsiaTheme="minorEastAsia"/>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bookmarkEnd w:id="14"/>
    <w:bookmarkEnd w:id="15"/>
    <w:p>
      <w:pPr>
        <w:spacing w:line="360" w:lineRule="auto"/>
        <w:jc w:val="left"/>
        <w:rPr>
          <w:rFonts w:asciiTheme="minorEastAsia" w:hAnsiTheme="minorEastAsia" w:eastAsiaTheme="minorEastAsia"/>
          <w:sz w:val="28"/>
          <w:szCs w:val="28"/>
        </w:rPr>
      </w:pPr>
    </w:p>
    <w:p>
      <w:pPr>
        <w:widowControl/>
        <w:rPr>
          <w:rFonts w:asciiTheme="minorEastAsia" w:hAnsiTheme="minorEastAsia" w:eastAsiaTheme="minorEastAsia"/>
          <w:kern w:val="0"/>
          <w:sz w:val="28"/>
          <w:szCs w:val="28"/>
        </w:rPr>
      </w:pPr>
    </w:p>
    <w:p>
      <w:pPr>
        <w:ind w:firstLine="832" w:firstLineChars="296"/>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HGJY-G2023084</w:t>
      </w:r>
    </w:p>
    <w:p>
      <w:pPr>
        <w:ind w:left="2020" w:leftChars="366" w:hanging="1251" w:hangingChars="445"/>
        <w:jc w:val="left"/>
        <w:rPr>
          <w:rFonts w:asciiTheme="minorEastAsia" w:hAnsiTheme="minorEastAsia" w:eastAsiaTheme="minorEastAsia"/>
          <w:b/>
          <w:bCs/>
          <w:sz w:val="32"/>
          <w:szCs w:val="32"/>
        </w:rPr>
      </w:pPr>
      <w:r>
        <w:rPr>
          <w:rFonts w:hint="eastAsia" w:asciiTheme="minorEastAsia" w:hAnsiTheme="minorEastAsia" w:eastAsiaTheme="minorEastAsia"/>
          <w:b/>
          <w:bCs/>
          <w:sz w:val="28"/>
          <w:szCs w:val="28"/>
        </w:rPr>
        <w:t>项目名称：</w:t>
      </w:r>
      <w:r>
        <w:rPr>
          <w:rFonts w:hint="eastAsia" w:asciiTheme="minorEastAsia" w:hAnsiTheme="minorEastAsia" w:eastAsiaTheme="minorEastAsia"/>
          <w:b/>
          <w:bCs/>
          <w:sz w:val="32"/>
          <w:szCs w:val="32"/>
        </w:rPr>
        <w:t>202</w:t>
      </w:r>
      <w:r>
        <w:rPr>
          <w:rFonts w:hint="eastAsia" w:asciiTheme="minorEastAsia" w:hAnsiTheme="minorEastAsia" w:eastAsiaTheme="minorEastAsia"/>
          <w:b/>
          <w:bCs/>
          <w:sz w:val="32"/>
          <w:szCs w:val="32"/>
          <w:lang w:val="en-US" w:eastAsia="zh-CN"/>
        </w:rPr>
        <w:t>3</w:t>
      </w:r>
      <w:r>
        <w:rPr>
          <w:rFonts w:hint="eastAsia" w:asciiTheme="minorEastAsia" w:hAnsiTheme="minorEastAsia" w:eastAsiaTheme="minorEastAsia"/>
          <w:b/>
          <w:bCs/>
          <w:sz w:val="32"/>
          <w:szCs w:val="32"/>
        </w:rPr>
        <w:t>年</w:t>
      </w:r>
      <w:r>
        <w:rPr>
          <w:rFonts w:hint="eastAsia" w:asciiTheme="minorEastAsia" w:hAnsiTheme="minorEastAsia" w:eastAsiaTheme="minorEastAsia"/>
          <w:b/>
          <w:bCs/>
          <w:sz w:val="32"/>
          <w:szCs w:val="32"/>
          <w:lang w:val="en-US" w:eastAsia="zh-CN"/>
        </w:rPr>
        <w:t>7-12</w:t>
      </w:r>
      <w:r>
        <w:rPr>
          <w:rFonts w:hint="eastAsia" w:asciiTheme="minorEastAsia" w:hAnsiTheme="minorEastAsia" w:eastAsiaTheme="minorEastAsia"/>
          <w:b/>
          <w:bCs/>
          <w:sz w:val="32"/>
          <w:szCs w:val="32"/>
        </w:rPr>
        <w:t>月炼钢用</w:t>
      </w:r>
      <w:r>
        <w:rPr>
          <w:rFonts w:hint="eastAsia" w:ascii="宋体" w:hAnsi="宋体" w:cs="宋体"/>
          <w:b/>
          <w:bCs/>
          <w:sz w:val="32"/>
          <w:szCs w:val="32"/>
        </w:rPr>
        <w:t>高碱度覆</w:t>
      </w:r>
      <w:r>
        <w:rPr>
          <w:rFonts w:hint="eastAsia" w:ascii="宋体" w:hAnsi="宋体"/>
          <w:b/>
          <w:bCs/>
          <w:sz w:val="32"/>
          <w:szCs w:val="32"/>
        </w:rPr>
        <w:t>盖剂</w:t>
      </w:r>
      <w:r>
        <w:rPr>
          <w:rFonts w:hint="eastAsia" w:asciiTheme="minorEastAsia" w:hAnsiTheme="minorEastAsia" w:eastAsiaTheme="minorEastAsia"/>
          <w:b/>
          <w:bCs/>
          <w:sz w:val="28"/>
          <w:szCs w:val="28"/>
        </w:rPr>
        <w:t>采购</w:t>
      </w:r>
      <w:r>
        <w:rPr>
          <w:rFonts w:hint="eastAsia" w:asciiTheme="minorEastAsia" w:hAnsiTheme="minorEastAsia" w:eastAsiaTheme="minorEastAsia"/>
          <w:b/>
          <w:bCs/>
          <w:sz w:val="32"/>
          <w:szCs w:val="32"/>
        </w:rPr>
        <w:t>项目</w:t>
      </w:r>
    </w:p>
    <w:p>
      <w:pPr>
        <w:widowControl/>
        <w:jc w:val="center"/>
        <w:rPr>
          <w:rFonts w:asciiTheme="minorEastAsia" w:hAnsiTheme="minorEastAsia" w:eastAsiaTheme="minorEastAsia"/>
          <w:b/>
          <w:kern w:val="0"/>
          <w:sz w:val="28"/>
          <w:szCs w:val="28"/>
        </w:rPr>
      </w:pPr>
    </w:p>
    <w:p>
      <w:pPr>
        <w:widowControl/>
        <w:jc w:val="center"/>
        <w:rPr>
          <w:rFonts w:asciiTheme="minorEastAsia" w:hAnsiTheme="minorEastAsia" w:eastAsiaTheme="minorEastAsia"/>
          <w:b/>
          <w:kern w:val="0"/>
          <w:sz w:val="28"/>
          <w:szCs w:val="28"/>
        </w:rPr>
      </w:pPr>
    </w:p>
    <w:p>
      <w:pPr>
        <w:widowControl/>
        <w:jc w:val="center"/>
        <w:rPr>
          <w:rFonts w:asciiTheme="minorEastAsia" w:hAnsiTheme="minorEastAsia" w:eastAsiaTheme="minorEastAsia"/>
          <w:b/>
          <w:sz w:val="28"/>
          <w:szCs w:val="28"/>
        </w:rPr>
      </w:pPr>
    </w:p>
    <w:p>
      <w:pPr>
        <w:widowControl/>
        <w:jc w:val="center"/>
        <w:rPr>
          <w:rFonts w:asciiTheme="minorEastAsia" w:hAnsiTheme="minorEastAsia" w:eastAsiaTheme="minorEastAsia"/>
          <w:b/>
          <w:sz w:val="28"/>
          <w:szCs w:val="28"/>
        </w:rPr>
      </w:pPr>
    </w:p>
    <w:p>
      <w:pPr>
        <w:widowControl/>
        <w:jc w:val="center"/>
        <w:rPr>
          <w:rFonts w:asciiTheme="minorEastAsia" w:hAnsiTheme="minorEastAsia" w:eastAsiaTheme="minorEastAsia"/>
          <w:b/>
          <w:sz w:val="28"/>
          <w:szCs w:val="28"/>
        </w:rPr>
      </w:pPr>
    </w:p>
    <w:p>
      <w:pPr>
        <w:spacing w:line="360" w:lineRule="auto"/>
        <w:jc w:val="left"/>
        <w:rPr>
          <w:rFonts w:asciiTheme="minorEastAsia" w:hAnsiTheme="minorEastAsia" w:eastAsiaTheme="minorEastAsia"/>
          <w:b/>
          <w:sz w:val="28"/>
          <w:szCs w:val="28"/>
        </w:rPr>
      </w:pPr>
    </w:p>
    <w:p>
      <w:pPr>
        <w:spacing w:line="360" w:lineRule="auto"/>
        <w:jc w:val="left"/>
        <w:rPr>
          <w:rFonts w:asciiTheme="minorEastAsia" w:hAnsiTheme="minorEastAsia" w:eastAsiaTheme="minorEastAsia"/>
          <w:b/>
          <w:sz w:val="28"/>
          <w:szCs w:val="28"/>
        </w:rPr>
      </w:pPr>
    </w:p>
    <w:p>
      <w:pPr>
        <w:widowControl/>
        <w:spacing w:line="360" w:lineRule="auto"/>
        <w:jc w:val="left"/>
        <w:rPr>
          <w:rFonts w:hint="eastAsia"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 xml:space="preserve">     投标人：（盖单位公章）</w:t>
      </w:r>
    </w:p>
    <w:p>
      <w:pPr>
        <w:widowControl/>
        <w:spacing w:line="360" w:lineRule="auto"/>
        <w:ind w:firstLine="562" w:firstLineChars="200"/>
        <w:jc w:val="left"/>
        <w:rPr>
          <w:rFonts w:hint="eastAsia"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法定代表人或其委托代理人： （签字或盖章）</w:t>
      </w:r>
    </w:p>
    <w:p>
      <w:pPr>
        <w:widowControl/>
        <w:spacing w:line="360" w:lineRule="auto"/>
        <w:ind w:firstLine="562" w:firstLineChars="200"/>
        <w:jc w:val="center"/>
        <w:rPr>
          <w:rFonts w:hint="eastAsia" w:asciiTheme="minorEastAsia" w:hAnsiTheme="minorEastAsia" w:eastAsiaTheme="minorEastAsia"/>
          <w:b/>
          <w:kern w:val="0"/>
          <w:sz w:val="32"/>
          <w:szCs w:val="32"/>
        </w:rPr>
      </w:pPr>
      <w:r>
        <w:rPr>
          <w:rFonts w:hint="eastAsia" w:asciiTheme="minorEastAsia" w:hAnsiTheme="minorEastAsia" w:eastAsiaTheme="minorEastAsia"/>
          <w:b/>
          <w:kern w:val="0"/>
          <w:sz w:val="28"/>
          <w:szCs w:val="28"/>
        </w:rPr>
        <w:t>日  期：  年    月   日</w:t>
      </w:r>
      <w:bookmarkStart w:id="16" w:name="_Toc300678566"/>
      <w:r>
        <w:rPr>
          <w:rFonts w:asciiTheme="minorEastAsia" w:hAnsiTheme="minorEastAsia" w:eastAsiaTheme="minorEastAsia"/>
          <w:kern w:val="0"/>
          <w:sz w:val="28"/>
          <w:szCs w:val="28"/>
        </w:rPr>
        <w:br w:type="page"/>
      </w:r>
      <w:bookmarkEnd w:id="16"/>
      <w:bookmarkStart w:id="17" w:name="_Toc38870577"/>
      <w:bookmarkStart w:id="18" w:name="_Toc300678567"/>
      <w:r>
        <w:rPr>
          <w:rFonts w:hint="eastAsia" w:asciiTheme="minorEastAsia" w:hAnsiTheme="minorEastAsia" w:eastAsiaTheme="minorEastAsia"/>
          <w:b/>
          <w:kern w:val="0"/>
          <w:sz w:val="32"/>
          <w:szCs w:val="32"/>
        </w:rPr>
        <w:t>第一部分：投标函部分</w:t>
      </w:r>
      <w:bookmarkEnd w:id="17"/>
    </w:p>
    <w:p>
      <w:pPr>
        <w:widowControl/>
        <w:spacing w:line="360" w:lineRule="auto"/>
        <w:ind w:firstLine="643" w:firstLineChars="200"/>
        <w:jc w:val="center"/>
        <w:rPr>
          <w:rFonts w:hint="eastAsia" w:asciiTheme="minorEastAsia" w:hAnsiTheme="minorEastAsia" w:eastAsiaTheme="minorEastAsia"/>
          <w:b/>
          <w:kern w:val="0"/>
          <w:sz w:val="32"/>
          <w:szCs w:val="32"/>
        </w:rPr>
      </w:pPr>
    </w:p>
    <w:p>
      <w:pPr>
        <w:rPr>
          <w:rFonts w:asciiTheme="minorEastAsia" w:hAnsiTheme="minorEastAsia" w:eastAsiaTheme="minorEastAsia"/>
        </w:rPr>
      </w:pPr>
    </w:p>
    <w:p>
      <w:pPr>
        <w:pStyle w:val="100"/>
        <w:numPr>
          <w:ilvl w:val="0"/>
          <w:numId w:val="16"/>
        </w:numPr>
        <w:spacing w:line="276" w:lineRule="auto"/>
        <w:ind w:firstLineChars="0"/>
        <w:rPr>
          <w:rFonts w:asciiTheme="minorEastAsia" w:hAnsiTheme="minorEastAsia" w:eastAsiaTheme="minorEastAsia"/>
          <w:sz w:val="32"/>
          <w:szCs w:val="32"/>
        </w:rPr>
      </w:pPr>
      <w:r>
        <w:fldChar w:fldCharType="begin"/>
      </w:r>
      <w:r>
        <w:instrText xml:space="preserve"> HYPERLINK \l "_Toc300678567" </w:instrText>
      </w:r>
      <w:r>
        <w:fldChar w:fldCharType="separate"/>
      </w:r>
      <w:r>
        <w:rPr>
          <w:rStyle w:val="42"/>
          <w:rFonts w:hint="eastAsia" w:asciiTheme="minorEastAsia" w:hAnsiTheme="minorEastAsia" w:eastAsiaTheme="minorEastAsia"/>
          <w:color w:val="auto"/>
          <w:sz w:val="32"/>
          <w:szCs w:val="32"/>
          <w:u w:val="none"/>
        </w:rPr>
        <w:t>投标函</w:t>
      </w:r>
      <w:r>
        <w:rPr>
          <w:rStyle w:val="42"/>
          <w:rFonts w:hint="eastAsia" w:asciiTheme="minorEastAsia" w:hAnsiTheme="minorEastAsia" w:eastAsiaTheme="minorEastAsia"/>
          <w:color w:val="auto"/>
          <w:sz w:val="32"/>
          <w:szCs w:val="32"/>
          <w:u w:val="none"/>
        </w:rPr>
        <w:fldChar w:fldCharType="end"/>
      </w:r>
    </w:p>
    <w:p>
      <w:pPr>
        <w:pStyle w:val="100"/>
        <w:numPr>
          <w:ilvl w:val="0"/>
          <w:numId w:val="16"/>
        </w:numPr>
        <w:spacing w:line="276" w:lineRule="auto"/>
        <w:ind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营业执照（复印件）</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三、</w:t>
      </w:r>
      <w:r>
        <w:fldChar w:fldCharType="begin"/>
      </w:r>
      <w:r>
        <w:instrText xml:space="preserve"> HYPERLINK \l "_Toc300678570" </w:instrText>
      </w:r>
      <w:r>
        <w:fldChar w:fldCharType="separate"/>
      </w:r>
      <w:r>
        <w:rPr>
          <w:rStyle w:val="42"/>
          <w:rFonts w:hint="eastAsia" w:asciiTheme="minorEastAsia" w:hAnsiTheme="minorEastAsia" w:eastAsiaTheme="minorEastAsia"/>
          <w:color w:val="auto"/>
          <w:sz w:val="32"/>
          <w:szCs w:val="32"/>
          <w:u w:val="none"/>
        </w:rPr>
        <w:t xml:space="preserve"> 法定代表人身份证明</w:t>
      </w:r>
      <w:r>
        <w:rPr>
          <w:rStyle w:val="42"/>
          <w:rFonts w:hint="eastAsia" w:asciiTheme="minorEastAsia" w:hAnsiTheme="minorEastAsia" w:eastAsiaTheme="minorEastAsia"/>
          <w:color w:val="auto"/>
          <w:sz w:val="32"/>
          <w:szCs w:val="32"/>
          <w:u w:val="none"/>
        </w:rPr>
        <w:fldChar w:fldCharType="end"/>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四、 授权委托书</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五、 投标保证金承诺函</w:t>
      </w:r>
    </w:p>
    <w:p>
      <w:pPr>
        <w:spacing w:line="400" w:lineRule="exact"/>
        <w:ind w:firstLine="320" w:firstLineChars="100"/>
        <w:rPr>
          <w:rFonts w:asciiTheme="minorEastAsia" w:hAnsiTheme="minorEastAsia" w:eastAsiaTheme="minorEastAsia"/>
          <w:sz w:val="32"/>
          <w:szCs w:val="32"/>
        </w:rPr>
      </w:pPr>
      <w:r>
        <w:rPr>
          <w:rStyle w:val="39"/>
          <w:rFonts w:hint="eastAsia" w:asciiTheme="minorEastAsia" w:hAnsiTheme="minorEastAsia" w:eastAsiaTheme="minorEastAsia"/>
          <w:b w:val="0"/>
          <w:sz w:val="32"/>
          <w:szCs w:val="32"/>
        </w:rPr>
        <w:t>六、 投标单位</w:t>
      </w:r>
      <w:r>
        <w:rPr>
          <w:rFonts w:hint="eastAsia" w:asciiTheme="minorEastAsia" w:hAnsiTheme="minorEastAsia" w:eastAsiaTheme="minorEastAsia"/>
          <w:sz w:val="32"/>
          <w:szCs w:val="32"/>
        </w:rPr>
        <w:t>开票信息表</w:t>
      </w:r>
    </w:p>
    <w:p>
      <w:pPr>
        <w:spacing w:line="276" w:lineRule="auto"/>
        <w:ind w:firstLine="480" w:firstLineChars="150"/>
        <w:rPr>
          <w:rFonts w:asciiTheme="minorEastAsia" w:hAnsiTheme="minorEastAsia" w:eastAsiaTheme="minorEastAsia"/>
          <w:sz w:val="32"/>
          <w:szCs w:val="32"/>
        </w:rPr>
      </w:pPr>
    </w:p>
    <w:p>
      <w:pPr>
        <w:widowControl/>
        <w:spacing w:before="156" w:after="312" w:line="420" w:lineRule="atLeast"/>
        <w:ind w:firstLine="703" w:firstLineChars="250"/>
        <w:rPr>
          <w:rStyle w:val="42"/>
          <w:rFonts w:asciiTheme="minorEastAsia" w:hAnsiTheme="minorEastAsia" w:eastAsiaTheme="minorEastAsia"/>
          <w:b/>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pStyle w:val="3"/>
        <w:spacing w:before="0" w:after="0" w:line="360" w:lineRule="auto"/>
        <w:jc w:val="center"/>
        <w:rPr>
          <w:rFonts w:asciiTheme="minorEastAsia" w:hAnsiTheme="minorEastAsia" w:eastAsiaTheme="minorEastAsia"/>
          <w:b w:val="0"/>
          <w:bCs w:val="0"/>
          <w:sz w:val="30"/>
          <w:szCs w:val="30"/>
        </w:rPr>
      </w:pPr>
      <w:bookmarkStart w:id="19" w:name="_Toc303865000"/>
      <w:bookmarkStart w:id="20" w:name="_Toc1544818"/>
      <w:r>
        <w:rPr>
          <w:rFonts w:hint="eastAsia" w:asciiTheme="minorEastAsia" w:hAnsiTheme="minorEastAsia" w:eastAsiaTheme="minorEastAsia"/>
          <w:b w:val="0"/>
          <w:bCs w:val="0"/>
          <w:sz w:val="30"/>
          <w:szCs w:val="30"/>
        </w:rPr>
        <w:t>一、投标函</w:t>
      </w:r>
      <w:bookmarkEnd w:id="18"/>
      <w:bookmarkEnd w:id="19"/>
      <w:bookmarkEnd w:id="20"/>
    </w:p>
    <w:p>
      <w:pPr>
        <w:spacing w:line="320" w:lineRule="atLeas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衡阳华菱钢管/连轧管有限公司</w:t>
      </w:r>
    </w:p>
    <w:p>
      <w:pPr>
        <w:spacing w:line="440" w:lineRule="exact"/>
        <w:ind w:firstLine="702" w:firstLineChars="251"/>
        <w:rPr>
          <w:rFonts w:asciiTheme="minorEastAsia" w:hAnsiTheme="minorEastAsia" w:eastAsiaTheme="minorEastAsia"/>
          <w:sz w:val="28"/>
          <w:szCs w:val="28"/>
        </w:rPr>
      </w:pPr>
    </w:p>
    <w:p>
      <w:pPr>
        <w:spacing w:line="440" w:lineRule="exact"/>
        <w:ind w:firstLine="702" w:firstLineChars="251"/>
        <w:rPr>
          <w:rFonts w:asciiTheme="minorEastAsia" w:hAnsiTheme="minorEastAsia" w:eastAsiaTheme="minorEastAsia"/>
          <w:sz w:val="28"/>
          <w:szCs w:val="28"/>
        </w:rPr>
      </w:pPr>
      <w:r>
        <w:rPr>
          <w:rFonts w:asciiTheme="minorEastAsia" w:hAnsiTheme="minorEastAsia" w:eastAsiaTheme="minorEastAsia"/>
          <w:sz w:val="28"/>
          <w:szCs w:val="28"/>
        </w:rPr>
        <w:t xml:space="preserve">根据贵方  </w:t>
      </w:r>
      <w:r>
        <w:rPr>
          <w:rFonts w:hint="eastAsia" w:asciiTheme="minorEastAsia" w:hAnsiTheme="minorEastAsia" w:eastAsiaTheme="minorEastAsia"/>
          <w:b/>
          <w:bCs/>
          <w:sz w:val="28"/>
          <w:szCs w:val="28"/>
        </w:rPr>
        <w:t>202</w:t>
      </w:r>
      <w:r>
        <w:rPr>
          <w:rFonts w:hint="eastAsia" w:asciiTheme="minorEastAsia" w:hAnsiTheme="minorEastAsia" w:eastAsiaTheme="minorEastAsia"/>
          <w:b/>
          <w:bCs/>
          <w:sz w:val="28"/>
          <w:szCs w:val="28"/>
          <w:lang w:val="en-US" w:eastAsia="zh-CN"/>
        </w:rPr>
        <w:t>3</w:t>
      </w:r>
      <w:r>
        <w:rPr>
          <w:rFonts w:hint="eastAsia" w:asciiTheme="minorEastAsia" w:hAnsiTheme="minorEastAsia" w:eastAsiaTheme="minorEastAsia"/>
          <w:b/>
          <w:bCs/>
          <w:sz w:val="28"/>
          <w:szCs w:val="28"/>
        </w:rPr>
        <w:t>年</w:t>
      </w:r>
      <w:r>
        <w:rPr>
          <w:rFonts w:hint="eastAsia" w:asciiTheme="minorEastAsia" w:hAnsiTheme="minorEastAsia" w:eastAsiaTheme="minorEastAsia"/>
          <w:b/>
          <w:bCs/>
          <w:sz w:val="28"/>
          <w:szCs w:val="28"/>
          <w:lang w:val="en-US" w:eastAsia="zh-CN"/>
        </w:rPr>
        <w:t>7-12</w:t>
      </w:r>
      <w:r>
        <w:rPr>
          <w:rFonts w:hint="eastAsia" w:asciiTheme="minorEastAsia" w:hAnsiTheme="minorEastAsia" w:eastAsiaTheme="minorEastAsia"/>
          <w:b/>
          <w:bCs/>
          <w:sz w:val="28"/>
          <w:szCs w:val="28"/>
        </w:rPr>
        <w:t>月炼钢用</w:t>
      </w:r>
      <w:r>
        <w:rPr>
          <w:rFonts w:hint="eastAsia" w:ascii="宋体" w:hAnsi="宋体" w:cs="宋体"/>
          <w:b/>
          <w:bCs/>
          <w:sz w:val="28"/>
          <w:szCs w:val="28"/>
        </w:rPr>
        <w:t>高碱度覆</w:t>
      </w:r>
      <w:r>
        <w:rPr>
          <w:rFonts w:hint="eastAsia" w:ascii="宋体" w:hAnsi="宋体"/>
          <w:b/>
          <w:bCs/>
          <w:sz w:val="28"/>
          <w:szCs w:val="28"/>
        </w:rPr>
        <w:t>盖剂</w:t>
      </w:r>
      <w:r>
        <w:rPr>
          <w:rFonts w:hint="eastAsia" w:asciiTheme="minorEastAsia" w:hAnsiTheme="minorEastAsia" w:eastAsiaTheme="minorEastAsia"/>
          <w:b/>
          <w:bCs/>
          <w:sz w:val="28"/>
          <w:szCs w:val="28"/>
        </w:rPr>
        <w:t>采购</w:t>
      </w:r>
      <w:r>
        <w:rPr>
          <w:rFonts w:asciiTheme="minorEastAsia" w:hAnsiTheme="minorEastAsia" w:eastAsiaTheme="minorEastAsia"/>
          <w:sz w:val="28"/>
          <w:szCs w:val="28"/>
        </w:rPr>
        <w:t>项目的</w:t>
      </w:r>
      <w:r>
        <w:rPr>
          <w:rFonts w:hint="eastAsia" w:asciiTheme="minorEastAsia" w:hAnsiTheme="minorEastAsia" w:eastAsiaTheme="minorEastAsia"/>
          <w:sz w:val="28"/>
          <w:szCs w:val="28"/>
        </w:rPr>
        <w:t>招标文件，项目</w:t>
      </w:r>
      <w:r>
        <w:rPr>
          <w:rFonts w:asciiTheme="minorEastAsia" w:hAnsiTheme="minorEastAsia" w:eastAsiaTheme="minorEastAsia"/>
          <w:sz w:val="28"/>
          <w:szCs w:val="28"/>
        </w:rPr>
        <w:t>编号</w:t>
      </w:r>
      <w:r>
        <w:rPr>
          <w:rFonts w:hint="eastAsia" w:asciiTheme="minorEastAsia" w:hAnsiTheme="minorEastAsia" w:eastAsiaTheme="minorEastAsia"/>
          <w:b/>
          <w:sz w:val="28"/>
          <w:szCs w:val="28"/>
          <w:lang w:val="en-US" w:eastAsia="zh-CN"/>
        </w:rPr>
        <w:t>HGJY-G2023084</w:t>
      </w:r>
      <w:r>
        <w:rPr>
          <w:rFonts w:asciiTheme="minorEastAsia" w:hAnsiTheme="minorEastAsia" w:eastAsiaTheme="minorEastAsia"/>
          <w:sz w:val="28"/>
          <w:szCs w:val="28"/>
        </w:rPr>
        <w:t>，</w:t>
      </w:r>
      <w:r>
        <w:rPr>
          <w:rFonts w:hint="eastAsia" w:asciiTheme="minorEastAsia" w:hAnsiTheme="minorEastAsia" w:eastAsiaTheme="minorEastAsia"/>
          <w:sz w:val="28"/>
          <w:szCs w:val="28"/>
        </w:rPr>
        <w:t>我方进行了认真研究，并对采购货物使用地点及工况环境进行实地了解，在充分研究上述招标文件的投标人须知、评标办法、技术规格书、合同条款及格式、投标文件范本等有关文件后，据此函，我方郑重承诺声明如下：</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我方已详细审阅招标文件各组成部分，认可贵方招标文件及相应文件的各项规定和要求且积极愿意参加上述招标项目投标。</w:t>
      </w:r>
    </w:p>
    <w:p>
      <w:pPr>
        <w:numPr>
          <w:ilvl w:val="1"/>
          <w:numId w:val="17"/>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方将按</w:t>
      </w:r>
      <w:r>
        <w:rPr>
          <w:rFonts w:asciiTheme="minorEastAsia" w:hAnsiTheme="minorEastAsia" w:eastAsiaTheme="minorEastAsia"/>
          <w:sz w:val="28"/>
          <w:szCs w:val="28"/>
        </w:rPr>
        <w:t>招标文件</w:t>
      </w:r>
      <w:r>
        <w:rPr>
          <w:rFonts w:hint="eastAsia" w:asciiTheme="minorEastAsia" w:hAnsiTheme="minorEastAsia" w:eastAsiaTheme="minorEastAsia"/>
          <w:sz w:val="28"/>
          <w:szCs w:val="28"/>
        </w:rPr>
        <w:t>的</w:t>
      </w:r>
      <w:r>
        <w:rPr>
          <w:rFonts w:asciiTheme="minorEastAsia" w:hAnsiTheme="minorEastAsia" w:eastAsiaTheme="minorEastAsia"/>
          <w:sz w:val="28"/>
          <w:szCs w:val="28"/>
        </w:rPr>
        <w:t>规定</w:t>
      </w:r>
      <w:r>
        <w:rPr>
          <w:rFonts w:hint="eastAsia" w:asciiTheme="minorEastAsia" w:hAnsiTheme="minorEastAsia" w:eastAsiaTheme="minorEastAsia"/>
          <w:sz w:val="28"/>
          <w:szCs w:val="28"/>
        </w:rPr>
        <w:t>履行合同</w:t>
      </w:r>
      <w:r>
        <w:rPr>
          <w:rFonts w:asciiTheme="minorEastAsia" w:hAnsiTheme="minorEastAsia" w:eastAsiaTheme="minorEastAsia"/>
          <w:sz w:val="28"/>
          <w:szCs w:val="28"/>
        </w:rPr>
        <w:t>责任</w:t>
      </w:r>
      <w:r>
        <w:rPr>
          <w:rFonts w:hint="eastAsia" w:asciiTheme="minorEastAsia" w:hAnsiTheme="minorEastAsia" w:eastAsiaTheme="minorEastAsia"/>
          <w:sz w:val="28"/>
          <w:szCs w:val="28"/>
        </w:rPr>
        <w:t>和</w:t>
      </w:r>
      <w:r>
        <w:rPr>
          <w:rFonts w:asciiTheme="minorEastAsia" w:hAnsiTheme="minorEastAsia" w:eastAsiaTheme="minorEastAsia"/>
          <w:sz w:val="28"/>
          <w:szCs w:val="28"/>
        </w:rPr>
        <w:t>义务</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我方承诺投标文件中所有关于投标人资格文件材料证明、价格、生产厂家等填报内容均真实、准确。如发现与事实不符，我方承担由此产生的一切后果。</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我们同意在投标须知规定的开标日期起遵循本投标文件，并在投标人须知规定的投标有效期期满之前均具约束力，并准备随时被你方接受</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如果我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在规定的投标有效期内撤回投标，投标保证金可被贵方没收</w:t>
      </w:r>
      <w:r>
        <w:rPr>
          <w:rFonts w:hint="eastAsia" w:asciiTheme="minorEastAsia" w:hAnsiTheme="minorEastAsia" w:eastAsiaTheme="minorEastAsia"/>
          <w:sz w:val="28"/>
          <w:szCs w:val="28"/>
        </w:rPr>
        <w:t>。</w:t>
      </w:r>
    </w:p>
    <w:p>
      <w:pPr>
        <w:numPr>
          <w:ilvl w:val="1"/>
          <w:numId w:val="17"/>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我方愿意</w:t>
      </w:r>
      <w:r>
        <w:rPr>
          <w:rFonts w:asciiTheme="minorEastAsia" w:hAnsiTheme="minorEastAsia" w:eastAsiaTheme="minorEastAsia"/>
          <w:sz w:val="28"/>
          <w:szCs w:val="28"/>
        </w:rPr>
        <w:t>提供与本投标</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有关的任何证据或资料</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完全理解贵方不一定要接受最低报价的投标</w:t>
      </w:r>
      <w:r>
        <w:rPr>
          <w:rFonts w:hint="eastAsia" w:asciiTheme="minorEastAsia" w:hAnsiTheme="minorEastAsia" w:eastAsiaTheme="minorEastAsia"/>
          <w:sz w:val="28"/>
          <w:szCs w:val="28"/>
        </w:rPr>
        <w:t>或对评标结果没有解释义务。</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如果我方中标，除另外达成协议并生效，贵方的中标通知书和</w:t>
      </w:r>
      <w:r>
        <w:rPr>
          <w:rFonts w:asciiTheme="minorEastAsia" w:hAnsiTheme="minorEastAsia" w:eastAsiaTheme="minorEastAsia"/>
          <w:sz w:val="28"/>
          <w:szCs w:val="28"/>
        </w:rPr>
        <w:t>本</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投标文件将构成约束我们双方的合同。</w:t>
      </w:r>
      <w:r>
        <w:rPr>
          <w:rFonts w:hint="eastAsia" w:asciiTheme="minorEastAsia" w:hAnsiTheme="minorEastAsia" w:eastAsiaTheme="minorEastAsia"/>
          <w:sz w:val="28"/>
          <w:szCs w:val="28"/>
        </w:rPr>
        <w:t>我方将在规定时间内交纳中标服务费并完成同贵方签订合同事宜。</w:t>
      </w:r>
    </w:p>
    <w:p>
      <w:pPr>
        <w:spacing w:line="440" w:lineRule="exact"/>
        <w:ind w:left="1275" w:hanging="850"/>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投标人： （单位盖公章）</w:t>
      </w:r>
    </w:p>
    <w:p>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法定代表人或委托代理人： （签字或盖章）</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bookmarkStart w:id="21" w:name="_Toc300678569"/>
    </w:p>
    <w:p>
      <w:pPr>
        <w:widowControl/>
        <w:jc w:val="left"/>
        <w:rPr>
          <w:rFonts w:asciiTheme="minorEastAsia" w:hAnsiTheme="minorEastAsia" w:eastAsiaTheme="minorEastAsia"/>
          <w:sz w:val="28"/>
          <w:szCs w:val="28"/>
        </w:rPr>
      </w:pPr>
      <w:bookmarkStart w:id="22" w:name="_Toc1544819"/>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二、营业执照</w:t>
      </w:r>
      <w:r>
        <w:rPr>
          <w:rFonts w:hint="eastAsia" w:asciiTheme="minorEastAsia" w:hAnsiTheme="minorEastAsia" w:eastAsiaTheme="minorEastAsia"/>
          <w:sz w:val="28"/>
          <w:szCs w:val="28"/>
        </w:rPr>
        <w:t>（扫描件）</w:t>
      </w:r>
      <w:bookmarkEnd w:id="21"/>
      <w:r>
        <w:rPr>
          <w:rFonts w:asciiTheme="minorEastAsia" w:hAnsiTheme="minorEastAsia" w:eastAsiaTheme="minorEastAsia"/>
          <w:sz w:val="28"/>
          <w:szCs w:val="28"/>
        </w:rPr>
        <w:br w:type="page"/>
      </w:r>
      <w:bookmarkStart w:id="23" w:name="_Toc303865001"/>
      <w:bookmarkStart w:id="24" w:name="_Toc526861363"/>
      <w:bookmarkStart w:id="25" w:name="_Toc300678570"/>
      <w:bookmarkStart w:id="26" w:name="_Toc1544820"/>
      <w:r>
        <w:rPr>
          <w:rFonts w:hint="eastAsia" w:asciiTheme="minorEastAsia" w:hAnsiTheme="minorEastAsia" w:eastAsiaTheme="minorEastAsia"/>
          <w:b w:val="0"/>
          <w:bCs w:val="0"/>
          <w:sz w:val="28"/>
          <w:szCs w:val="28"/>
        </w:rPr>
        <w:t>三、法定代表人证明</w:t>
      </w:r>
      <w:bookmarkEnd w:id="22"/>
      <w:bookmarkEnd w:id="23"/>
      <w:bookmarkEnd w:id="24"/>
      <w:bookmarkEnd w:id="25"/>
      <w:bookmarkEnd w:id="26"/>
      <w:r>
        <w:rPr>
          <w:rFonts w:hint="eastAsia" w:asciiTheme="minorEastAsia" w:hAnsiTheme="minorEastAsia" w:eastAsiaTheme="minorEastAsia"/>
          <w:b w:val="0"/>
          <w:bCs w:val="0"/>
          <w:sz w:val="28"/>
          <w:szCs w:val="28"/>
        </w:rPr>
        <w:t>书</w:t>
      </w:r>
    </w:p>
    <w:p>
      <w:pPr>
        <w:widowControl/>
        <w:spacing w:line="400" w:lineRule="atLeast"/>
        <w:rPr>
          <w:rFonts w:asciiTheme="minorEastAsia" w:hAnsiTheme="minorEastAsia" w:eastAsiaTheme="minorEastAsia"/>
          <w:kern w:val="0"/>
          <w:sz w:val="28"/>
          <w:szCs w:val="28"/>
        </w:rPr>
      </w:pPr>
    </w:p>
    <w:p>
      <w:pPr>
        <w:spacing w:line="420" w:lineRule="exact"/>
        <w:rPr>
          <w:rFonts w:asciiTheme="minorEastAsia" w:hAnsiTheme="minorEastAsia" w:eastAsiaTheme="minorEastAsia"/>
          <w:sz w:val="28"/>
          <w:szCs w:val="28"/>
          <w:u w:val="single"/>
        </w:rPr>
      </w:pPr>
      <w:bookmarkStart w:id="27" w:name="_Toc300678571"/>
      <w:r>
        <w:rPr>
          <w:rFonts w:hint="eastAsia" w:asciiTheme="minorEastAsia" w:hAnsiTheme="minorEastAsia" w:eastAsiaTheme="minorEastAsia"/>
          <w:sz w:val="28"/>
          <w:szCs w:val="28"/>
        </w:rPr>
        <w:t>单位名称：</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单位性质：</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成立时间： 年  月  日</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性别：</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年龄：</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职务：</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系</w:t>
      </w:r>
      <w:r>
        <w:rPr>
          <w:rFonts w:hint="eastAsia" w:asciiTheme="minorEastAsia" w:hAnsiTheme="minorEastAsia" w:eastAsiaTheme="minorEastAsia"/>
          <w:sz w:val="28"/>
          <w:szCs w:val="28"/>
          <w:u w:val="single"/>
        </w:rPr>
        <w:t>（投标单位名称）</w:t>
      </w:r>
      <w:r>
        <w:rPr>
          <w:rFonts w:hint="eastAsia" w:asciiTheme="minorEastAsia" w:hAnsiTheme="minorEastAsia" w:eastAsiaTheme="minorEastAsia"/>
          <w:sz w:val="28"/>
          <w:szCs w:val="28"/>
        </w:rPr>
        <w:t>的法定代表人。为本次采购项目签署上述投标文件、进行合同谈判、签署合同和处理与之有关的一切事务。</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p>
    <w:p>
      <w:pPr>
        <w:spacing w:line="360" w:lineRule="atLeast"/>
        <w:ind w:firstLine="480"/>
        <w:rPr>
          <w:rFonts w:asciiTheme="minorEastAsia" w:hAnsiTheme="minorEastAsia" w:eastAsiaTheme="minorEastAsia"/>
          <w:b/>
          <w:sz w:val="28"/>
          <w:szCs w:val="28"/>
        </w:rPr>
      </w:pPr>
    </w:p>
    <w:p>
      <w:pPr>
        <w:spacing w:line="360" w:lineRule="atLeast"/>
        <w:ind w:firstLine="140" w:firstLineChars="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投标人：（单位盖公章）</w:t>
      </w:r>
    </w:p>
    <w:p>
      <w:pPr>
        <w:spacing w:line="360" w:lineRule="atLeast"/>
        <w:jc w:val="left"/>
        <w:rPr>
          <w:rFonts w:asciiTheme="minorEastAsia" w:hAnsiTheme="minorEastAsia" w:eastAsiaTheme="minorEastAsia"/>
          <w:sz w:val="28"/>
          <w:szCs w:val="28"/>
        </w:rPr>
      </w:pPr>
    </w:p>
    <w:p>
      <w:pPr>
        <w:spacing w:line="360" w:lineRule="auto"/>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b/>
          <w:bCs/>
          <w:sz w:val="28"/>
          <w:szCs w:val="28"/>
        </w:rPr>
      </w:pPr>
      <w:r>
        <w:rPr>
          <w:rFonts w:hint="eastAsia" w:asciiTheme="minorEastAsia" w:hAnsiTheme="minorEastAsia" w:eastAsiaTheme="minorEastAsia"/>
          <w:b/>
          <w:bCs/>
          <w:kern w:val="0"/>
          <w:sz w:val="28"/>
          <w:szCs w:val="28"/>
        </w:rPr>
        <w:t>附：</w:t>
      </w:r>
      <w:r>
        <w:rPr>
          <w:rFonts w:hint="eastAsia" w:asciiTheme="minorEastAsia" w:hAnsiTheme="minorEastAsia" w:eastAsiaTheme="minorEastAsia"/>
          <w:b/>
          <w:bCs/>
          <w:sz w:val="28"/>
          <w:szCs w:val="28"/>
        </w:rPr>
        <w:t>法定代表人身份证扫描件</w:t>
      </w:r>
    </w:p>
    <w:tbl>
      <w:tblPr>
        <w:tblStyle w:val="37"/>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PrEx>
        <w:trPr>
          <w:trHeight w:val="3240" w:hRule="atLeast"/>
        </w:trPr>
        <w:tc>
          <w:tcPr>
            <w:tcW w:w="4848" w:type="dxa"/>
            <w:tcBorders>
              <w:top w:val="single" w:color="auto" w:sz="12" w:space="0"/>
              <w:bottom w:val="single" w:color="auto" w:sz="12" w:space="0"/>
            </w:tcBorders>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法定代表人二代身份证正面</w:t>
            </w:r>
          </w:p>
        </w:tc>
        <w:tc>
          <w:tcPr>
            <w:tcW w:w="4554" w:type="dxa"/>
            <w:tcBorders>
              <w:top w:val="single" w:color="auto" w:sz="12" w:space="0"/>
              <w:bottom w:val="single" w:color="auto" w:sz="12" w:space="0"/>
            </w:tcBorders>
            <w:vAlign w:val="center"/>
          </w:tcPr>
          <w:p>
            <w:pPr>
              <w:snapToGrid w:val="0"/>
              <w:spacing w:line="360" w:lineRule="auto"/>
              <w:ind w:right="-170" w:rightChars="-81"/>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法定代表人二代身份证反面</w:t>
            </w:r>
          </w:p>
        </w:tc>
      </w:tr>
    </w:tbl>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bookmarkEnd w:id="27"/>
    <w:p>
      <w:pPr>
        <w:widowControl/>
        <w:jc w:val="left"/>
        <w:rPr>
          <w:rFonts w:asciiTheme="minorEastAsia" w:hAnsiTheme="minorEastAsia" w:eastAsiaTheme="minorEastAsia"/>
          <w:sz w:val="28"/>
          <w:szCs w:val="28"/>
        </w:rPr>
      </w:pPr>
      <w:bookmarkStart w:id="28" w:name="_Toc1544821"/>
      <w:bookmarkStart w:id="29" w:name="_Toc526861364"/>
      <w:bookmarkStart w:id="30" w:name="_Toc303865002"/>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四、授权委托书</w:t>
      </w:r>
      <w:bookmarkEnd w:id="28"/>
      <w:bookmarkEnd w:id="29"/>
      <w:bookmarkEnd w:id="30"/>
    </w:p>
    <w:p>
      <w:pPr>
        <w:widowControl/>
        <w:spacing w:line="400" w:lineRule="atLeast"/>
        <w:rPr>
          <w:rFonts w:asciiTheme="minorEastAsia" w:hAnsiTheme="minorEastAsia" w:eastAsiaTheme="minorEastAsia"/>
          <w:kern w:val="0"/>
          <w:sz w:val="28"/>
          <w:szCs w:val="28"/>
        </w:rPr>
      </w:pPr>
    </w:p>
    <w:p>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本授权委托书声明：我（姓名）系（投标人名称）的法定代表人，现授权委托（单位名称）的（姓名）为我公司代理人，以本公司的名义参加</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3</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7-12</w:t>
      </w:r>
      <w:r>
        <w:rPr>
          <w:rFonts w:hint="eastAsia" w:asciiTheme="minorEastAsia" w:hAnsiTheme="minorEastAsia" w:eastAsiaTheme="minorEastAsia"/>
          <w:b/>
          <w:bCs/>
          <w:sz w:val="28"/>
          <w:szCs w:val="28"/>
          <w:u w:val="single"/>
        </w:rPr>
        <w:t>月炼钢用</w:t>
      </w:r>
      <w:r>
        <w:rPr>
          <w:rFonts w:hint="eastAsia" w:ascii="宋体" w:hAnsi="宋体" w:cs="宋体"/>
          <w:b/>
          <w:bCs/>
          <w:sz w:val="28"/>
          <w:szCs w:val="28"/>
          <w:u w:val="single"/>
        </w:rPr>
        <w:t>高碱度覆</w:t>
      </w:r>
      <w:r>
        <w:rPr>
          <w:rFonts w:hint="eastAsia" w:ascii="宋体" w:hAnsi="宋体"/>
          <w:b/>
          <w:bCs/>
          <w:sz w:val="28"/>
          <w:szCs w:val="28"/>
          <w:u w:val="single"/>
        </w:rPr>
        <w:t>盖剂</w:t>
      </w:r>
      <w:r>
        <w:rPr>
          <w:rFonts w:hint="eastAsia" w:asciiTheme="minorEastAsia" w:hAnsiTheme="minorEastAsia" w:eastAsiaTheme="minorEastAsia"/>
          <w:b/>
          <w:bCs/>
          <w:sz w:val="28"/>
          <w:szCs w:val="28"/>
          <w:u w:val="single"/>
        </w:rPr>
        <w:t>采购</w:t>
      </w:r>
      <w:r>
        <w:rPr>
          <w:rFonts w:hint="eastAsia" w:asciiTheme="minorEastAsia" w:hAnsiTheme="minorEastAsia" w:eastAsiaTheme="minorEastAsia"/>
          <w:sz w:val="28"/>
          <w:szCs w:val="28"/>
        </w:rPr>
        <w:t>项目的投标活动。代理人在开标、评标、合同谈判签订及执行过程中所签署的一切文件和处理与之有关的一切事务，我均予以承认，均是我的行为，由我承担法律责任。委托人联系电话：</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360" w:lineRule="atLeast"/>
        <w:rPr>
          <w:rFonts w:asciiTheme="minorEastAsia" w:hAnsiTheme="minorEastAsia" w:eastAsiaTheme="minorEastAsia"/>
          <w:sz w:val="28"/>
          <w:szCs w:val="28"/>
        </w:rPr>
      </w:pP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代理人无转授权。</w:t>
      </w:r>
    </w:p>
    <w:p>
      <w:pPr>
        <w:spacing w:line="360" w:lineRule="atLeast"/>
        <w:ind w:firstLine="480"/>
        <w:rPr>
          <w:rFonts w:asciiTheme="minorEastAsia" w:hAnsiTheme="minorEastAsia" w:eastAsiaTheme="minorEastAsia"/>
          <w:sz w:val="28"/>
          <w:szCs w:val="28"/>
        </w:rPr>
      </w:pP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特此委托。</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投标人：（盖单位</w:t>
      </w:r>
      <w:r>
        <w:rPr>
          <w:rFonts w:hint="eastAsia" w:asciiTheme="minorEastAsia" w:hAnsiTheme="minorEastAsia" w:eastAsiaTheme="minorEastAsia"/>
          <w:kern w:val="0"/>
          <w:sz w:val="28"/>
          <w:szCs w:val="28"/>
        </w:rPr>
        <w:t>公</w:t>
      </w:r>
      <w:r>
        <w:rPr>
          <w:rFonts w:asciiTheme="minorEastAsia" w:hAnsiTheme="minorEastAsia" w:eastAsiaTheme="minorEastAsia"/>
          <w:kern w:val="0"/>
          <w:sz w:val="28"/>
          <w:szCs w:val="28"/>
        </w:rPr>
        <w:t>章）</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法定代表人：（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委托代理人：（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left="4117" w:firstLine="2879"/>
        <w:rPr>
          <w:rFonts w:asciiTheme="minorEastAsia" w:hAnsiTheme="minorEastAsia" w:eastAsiaTheme="minorEastAsia"/>
          <w:kern w:val="0"/>
          <w:sz w:val="28"/>
          <w:szCs w:val="28"/>
        </w:rPr>
      </w:pPr>
    </w:p>
    <w:p>
      <w:pPr>
        <w:spacing w:line="360" w:lineRule="auto"/>
        <w:ind w:firstLine="2800" w:firstLineChars="10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日   期：   年    月    日</w:t>
      </w:r>
    </w:p>
    <w:p>
      <w:pPr>
        <w:widowControl/>
        <w:topLinePunct/>
        <w:spacing w:line="440" w:lineRule="atLeast"/>
        <w:jc w:val="left"/>
        <w:rPr>
          <w:rFonts w:cs="宋体" w:asciiTheme="minorEastAsia" w:hAnsiTheme="minorEastAsia" w:eastAsiaTheme="minorEastAsia"/>
          <w:sz w:val="28"/>
          <w:szCs w:val="28"/>
        </w:rPr>
      </w:pPr>
    </w:p>
    <w:p>
      <w:pPr>
        <w:widowControl/>
        <w:topLinePunct/>
        <w:spacing w:line="460" w:lineRule="atLeas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附：委托代理人</w:t>
      </w:r>
      <w:r>
        <w:rPr>
          <w:rFonts w:hint="eastAsia" w:asciiTheme="minorEastAsia" w:hAnsiTheme="minorEastAsia" w:eastAsiaTheme="minorEastAsia"/>
          <w:b/>
          <w:bCs/>
          <w:sz w:val="28"/>
          <w:szCs w:val="28"/>
        </w:rPr>
        <w:t>身份证扫描件</w:t>
      </w:r>
    </w:p>
    <w:tbl>
      <w:tblPr>
        <w:tblStyle w:val="37"/>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190" w:hRule="atLeast"/>
        </w:trPr>
        <w:tc>
          <w:tcPr>
            <w:tcW w:w="4838"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委托代理人二代身份证正面</w:t>
            </w:r>
          </w:p>
        </w:tc>
        <w:tc>
          <w:tcPr>
            <w:tcW w:w="4691"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委托代理人二代身份证反面</w:t>
            </w:r>
          </w:p>
        </w:tc>
      </w:tr>
    </w:tbl>
    <w:p>
      <w:pPr>
        <w:widowControl/>
        <w:topLinePunct/>
        <w:spacing w:line="440" w:lineRule="atLeast"/>
        <w:jc w:val="left"/>
        <w:rPr>
          <w:rFonts w:cs="宋体" w:asciiTheme="minorEastAsia" w:hAnsiTheme="minorEastAsia" w:eastAsiaTheme="minorEastAsia"/>
          <w:sz w:val="28"/>
          <w:szCs w:val="28"/>
        </w:rPr>
        <w:sectPr>
          <w:footerReference r:id="rId3" w:type="default"/>
          <w:pgSz w:w="11906" w:h="16838"/>
          <w:pgMar w:top="1440" w:right="869" w:bottom="1440" w:left="1377" w:header="851" w:footer="992" w:gutter="0"/>
          <w:cols w:space="720" w:num="1"/>
          <w:docGrid w:linePitch="326" w:charSpace="0"/>
        </w:sectPr>
      </w:pPr>
    </w:p>
    <w:p>
      <w:pPr>
        <w:pStyle w:val="3"/>
        <w:spacing w:before="0" w:after="0" w:line="360" w:lineRule="auto"/>
        <w:jc w:val="center"/>
        <w:rPr>
          <w:rFonts w:asciiTheme="minorEastAsia" w:hAnsiTheme="minorEastAsia" w:eastAsiaTheme="minorEastAsia"/>
          <w:b w:val="0"/>
          <w:bCs w:val="0"/>
          <w:sz w:val="28"/>
          <w:szCs w:val="28"/>
        </w:rPr>
      </w:pPr>
      <w:bookmarkStart w:id="31" w:name="_Toc526861365"/>
      <w:bookmarkStart w:id="32" w:name="_Toc1544822"/>
      <w:r>
        <w:rPr>
          <w:rFonts w:hint="eastAsia" w:asciiTheme="minorEastAsia" w:hAnsiTheme="minorEastAsia" w:eastAsiaTheme="minorEastAsia"/>
          <w:b w:val="0"/>
          <w:bCs w:val="0"/>
          <w:sz w:val="28"/>
          <w:szCs w:val="28"/>
        </w:rPr>
        <w:t>五、投标保证金</w:t>
      </w:r>
      <w:bookmarkEnd w:id="31"/>
      <w:bookmarkEnd w:id="32"/>
      <w:r>
        <w:rPr>
          <w:rFonts w:hint="eastAsia" w:asciiTheme="minorEastAsia" w:hAnsiTheme="minorEastAsia" w:eastAsiaTheme="minorEastAsia"/>
          <w:b w:val="0"/>
          <w:bCs w:val="0"/>
          <w:sz w:val="28"/>
          <w:szCs w:val="28"/>
        </w:rPr>
        <w:t>承诺函</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p>
    <w:p>
      <w:pPr>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3</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7-12</w:t>
      </w:r>
      <w:r>
        <w:rPr>
          <w:rFonts w:hint="eastAsia" w:asciiTheme="minorEastAsia" w:hAnsiTheme="minorEastAsia" w:eastAsiaTheme="minorEastAsia"/>
          <w:b/>
          <w:bCs/>
          <w:sz w:val="28"/>
          <w:szCs w:val="28"/>
          <w:u w:val="single"/>
        </w:rPr>
        <w:t>月炼钢用</w:t>
      </w:r>
      <w:r>
        <w:rPr>
          <w:rFonts w:hint="eastAsia" w:ascii="宋体" w:hAnsi="宋体" w:cs="宋体"/>
          <w:b/>
          <w:bCs/>
          <w:sz w:val="28"/>
          <w:szCs w:val="28"/>
          <w:u w:val="single"/>
        </w:rPr>
        <w:t>高碱度覆</w:t>
      </w:r>
      <w:r>
        <w:rPr>
          <w:rFonts w:hint="eastAsia" w:ascii="宋体" w:hAnsi="宋体"/>
          <w:b/>
          <w:bCs/>
          <w:sz w:val="28"/>
          <w:szCs w:val="28"/>
          <w:u w:val="single"/>
        </w:rPr>
        <w:t>盖剂</w:t>
      </w:r>
      <w:r>
        <w:rPr>
          <w:rFonts w:hint="eastAsia" w:asciiTheme="minorEastAsia" w:hAnsiTheme="minorEastAsia" w:eastAsiaTheme="minorEastAsia"/>
          <w:b/>
          <w:bCs/>
          <w:sz w:val="28"/>
          <w:szCs w:val="28"/>
          <w:u w:val="single"/>
        </w:rPr>
        <w:t>采购</w:t>
      </w:r>
      <w:r>
        <w:rPr>
          <w:rFonts w:hint="eastAsia" w:asciiTheme="minorEastAsia" w:hAnsiTheme="minorEastAsia" w:eastAsiaTheme="minorEastAsia"/>
          <w:sz w:val="28"/>
          <w:szCs w:val="28"/>
        </w:rPr>
        <w:t>项目招标文件</w:t>
      </w:r>
      <w:bookmarkStart w:id="50" w:name="_GoBack"/>
      <w:bookmarkEnd w:id="50"/>
      <w:r>
        <w:rPr>
          <w:rFonts w:hint="eastAsia" w:asciiTheme="minorEastAsia" w:hAnsiTheme="minorEastAsia" w:eastAsiaTheme="minorEastAsia"/>
          <w:sz w:val="28"/>
          <w:szCs w:val="28"/>
        </w:rPr>
        <w:t>（项目编号</w:t>
      </w:r>
      <w:r>
        <w:rPr>
          <w:rFonts w:hint="eastAsia" w:asciiTheme="minorEastAsia" w:hAnsiTheme="minorEastAsia" w:eastAsiaTheme="minorEastAsia"/>
          <w:b/>
          <w:sz w:val="28"/>
          <w:szCs w:val="28"/>
          <w:lang w:val="en-US" w:eastAsia="zh-CN"/>
        </w:rPr>
        <w:t>HGJY-G2023084</w:t>
      </w:r>
      <w:r>
        <w:rPr>
          <w:rFonts w:hint="eastAsia" w:asciiTheme="minorEastAsia" w:hAnsiTheme="minorEastAsia" w:eastAsiaTheme="minorEastAsia"/>
          <w:sz w:val="28"/>
          <w:szCs w:val="28"/>
        </w:rPr>
        <w:t>）规定，我方承诺提交</w:t>
      </w:r>
      <w:r>
        <w:rPr>
          <w:rFonts w:asciiTheme="minorEastAsia" w:hAnsiTheme="minorEastAsia" w:eastAsiaTheme="minorEastAsia"/>
          <w:sz w:val="28"/>
          <w:szCs w:val="28"/>
        </w:rPr>
        <w:t>________</w:t>
      </w:r>
      <w:r>
        <w:rPr>
          <w:rFonts w:hint="eastAsia" w:asciiTheme="minorEastAsia" w:hAnsiTheme="minorEastAsia" w:eastAsiaTheme="minorEastAsia"/>
          <w:sz w:val="28"/>
          <w:szCs w:val="28"/>
        </w:rPr>
        <w:t>元投标保证金用作投标责任担保。提交投标保证金方式（</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现金；</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银行汇票；</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转账凭证；</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货款；</w:t>
      </w:r>
      <w:r>
        <w:rPr>
          <w:rFonts w:hint="eastAsia" w:asciiTheme="minorEastAsia" w:hAnsiTheme="minorEastAsia" w:eastAsiaTheme="minorEastAsia"/>
          <w:bCs/>
          <w:sz w:val="28"/>
          <w:szCs w:val="28"/>
        </w:rPr>
        <w:t>□ 工程款&lt;</w:t>
      </w:r>
      <w:r>
        <w:rPr>
          <w:rFonts w:hint="eastAsia" w:asciiTheme="minorEastAsia" w:hAnsiTheme="minorEastAsia" w:eastAsiaTheme="minorEastAsia"/>
          <w:b/>
          <w:bCs/>
          <w:sz w:val="28"/>
          <w:szCs w:val="28"/>
        </w:rPr>
        <w:t>□中√选</w:t>
      </w:r>
      <w:r>
        <w:rPr>
          <w:rFonts w:hint="eastAsia" w:asciiTheme="minorEastAsia" w:hAnsiTheme="minorEastAsia" w:eastAsiaTheme="minorEastAsia"/>
          <w:bCs/>
          <w:sz w:val="28"/>
          <w:szCs w:val="28"/>
        </w:rPr>
        <w:t>&gt;</w:t>
      </w:r>
      <w:r>
        <w:rPr>
          <w:rFonts w:hint="eastAsia" w:asciiTheme="minorEastAsia" w:hAnsiTheme="minorEastAsia" w:eastAsiaTheme="minorEastAsia"/>
          <w:sz w:val="28"/>
          <w:szCs w:val="28"/>
        </w:rPr>
        <w:t>）</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如我方</w:t>
      </w:r>
      <w:r>
        <w:rPr>
          <w:rFonts w:asciiTheme="minorEastAsia" w:hAnsiTheme="minorEastAsia" w:eastAsiaTheme="minorEastAsia"/>
          <w:sz w:val="28"/>
          <w:szCs w:val="28"/>
        </w:rPr>
        <w:t>发生</w:t>
      </w:r>
      <w:r>
        <w:rPr>
          <w:rFonts w:hint="eastAsia" w:asciiTheme="minorEastAsia" w:hAnsiTheme="minorEastAsia" w:eastAsiaTheme="minorEastAsia"/>
          <w:sz w:val="28"/>
          <w:szCs w:val="28"/>
        </w:rPr>
        <w:t>下列情况</w:t>
      </w:r>
      <w:r>
        <w:rPr>
          <w:rFonts w:asciiTheme="minorEastAsia" w:hAnsiTheme="minorEastAsia" w:eastAsiaTheme="minorEastAsia"/>
          <w:sz w:val="28"/>
          <w:szCs w:val="28"/>
        </w:rPr>
        <w:t>，投标保证金可被贵方没收</w:t>
      </w:r>
      <w:r>
        <w:rPr>
          <w:rFonts w:hint="eastAsia" w:asciiTheme="minorEastAsia" w:hAnsiTheme="minorEastAsia" w:eastAsiaTheme="minorEastAsia"/>
          <w:sz w:val="28"/>
          <w:szCs w:val="28"/>
        </w:rPr>
        <w:t>：</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在投标有效期内撤回其投标</w:t>
      </w:r>
      <w:r>
        <w:rPr>
          <w:rFonts w:hint="eastAsia" w:asciiTheme="minorEastAsia" w:hAnsiTheme="minorEastAsia" w:eastAsiaTheme="minorEastAsia"/>
          <w:sz w:val="28"/>
          <w:szCs w:val="28"/>
        </w:rPr>
        <w:t>报价</w:t>
      </w:r>
      <w:r>
        <w:rPr>
          <w:rFonts w:asciiTheme="minorEastAsia" w:hAnsiTheme="minorEastAsia" w:eastAsiaTheme="minorEastAsia"/>
          <w:sz w:val="28"/>
          <w:szCs w:val="28"/>
        </w:rPr>
        <w:t xml:space="preserve">； </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中标</w:t>
      </w:r>
      <w:r>
        <w:rPr>
          <w:rFonts w:hint="eastAsia" w:asciiTheme="minorEastAsia" w:hAnsiTheme="minorEastAsia" w:eastAsiaTheme="minorEastAsia"/>
          <w:sz w:val="28"/>
          <w:szCs w:val="28"/>
        </w:rPr>
        <w:t>后未</w:t>
      </w:r>
      <w:r>
        <w:rPr>
          <w:rFonts w:asciiTheme="minorEastAsia" w:hAnsiTheme="minorEastAsia" w:eastAsiaTheme="minorEastAsia"/>
          <w:sz w:val="28"/>
          <w:szCs w:val="28"/>
        </w:rPr>
        <w:t>按规定签订合同或</w:t>
      </w:r>
      <w:r>
        <w:rPr>
          <w:rFonts w:hint="eastAsia" w:asciiTheme="minorEastAsia" w:hAnsiTheme="minorEastAsia" w:eastAsiaTheme="minorEastAsia"/>
          <w:sz w:val="28"/>
          <w:szCs w:val="28"/>
        </w:rPr>
        <w:t>未</w:t>
      </w:r>
      <w:r>
        <w:rPr>
          <w:rFonts w:asciiTheme="minorEastAsia" w:hAnsiTheme="minorEastAsia" w:eastAsiaTheme="minorEastAsia"/>
          <w:sz w:val="28"/>
          <w:szCs w:val="28"/>
        </w:rPr>
        <w:t>按规定接受对错误的修正；</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未</w:t>
      </w:r>
      <w:r>
        <w:rPr>
          <w:rFonts w:hint="eastAsia" w:asciiTheme="minorEastAsia" w:hAnsiTheme="minorEastAsia" w:eastAsiaTheme="minorEastAsia"/>
          <w:sz w:val="28"/>
          <w:szCs w:val="28"/>
        </w:rPr>
        <w:t>按规定</w:t>
      </w:r>
      <w:r>
        <w:rPr>
          <w:rFonts w:asciiTheme="minorEastAsia" w:hAnsiTheme="minorEastAsia" w:eastAsiaTheme="minorEastAsia"/>
          <w:sz w:val="28"/>
          <w:szCs w:val="28"/>
        </w:rPr>
        <w:t>提交履约保证金</w:t>
      </w:r>
      <w:r>
        <w:rPr>
          <w:rFonts w:hint="eastAsia" w:asciiTheme="minorEastAsia" w:hAnsiTheme="minorEastAsia" w:eastAsiaTheme="minorEastAsia"/>
          <w:sz w:val="28"/>
          <w:szCs w:val="28"/>
        </w:rPr>
        <w:t>；</w:t>
      </w:r>
    </w:p>
    <w:p>
      <w:pPr>
        <w:pStyle w:val="100"/>
        <w:numPr>
          <w:ilvl w:val="0"/>
          <w:numId w:val="18"/>
        </w:numPr>
        <w:tabs>
          <w:tab w:val="left" w:pos="1418"/>
        </w:tabs>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未按规定交纳中标服务费；</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存在腐败或欺诈行为</w:t>
      </w:r>
      <w:r>
        <w:rPr>
          <w:rFonts w:hint="eastAsia" w:asciiTheme="minorEastAsia" w:hAnsiTheme="minorEastAsia" w:eastAsiaTheme="minorEastAsia"/>
          <w:sz w:val="28"/>
          <w:szCs w:val="28"/>
        </w:rPr>
        <w:t>；</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采用不正当的手段骗取中标</w:t>
      </w:r>
      <w:r>
        <w:rPr>
          <w:rFonts w:hint="eastAsia" w:asciiTheme="minorEastAsia" w:hAnsiTheme="minorEastAsia" w:eastAsiaTheme="minorEastAsia"/>
          <w:sz w:val="28"/>
          <w:szCs w:val="28"/>
        </w:rPr>
        <w:t>；</w:t>
      </w: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PrEx>
        <w:trPr>
          <w:trHeight w:val="7085" w:hRule="atLeast"/>
        </w:trPr>
        <w:tc>
          <w:tcPr>
            <w:tcW w:w="9180" w:type="dxa"/>
            <w:tcBorders>
              <w:top w:val="single" w:color="auto" w:sz="4" w:space="0"/>
            </w:tcBorders>
          </w:tcPr>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付款凭证粘贴处；</w:t>
            </w:r>
          </w:p>
          <w:p>
            <w:pPr>
              <w:snapToGrid w:val="0"/>
              <w:spacing w:line="360" w:lineRule="auto"/>
              <w:ind w:right="-170" w:rightChars="-81"/>
              <w:rPr>
                <w:rFonts w:asciiTheme="minorEastAsia" w:hAnsiTheme="minorEastAsia" w:eastAsiaTheme="minorEastAsia"/>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投标人：（盖单公位章）</w:t>
      </w:r>
    </w:p>
    <w:p>
      <w:pPr>
        <w:snapToGrid w:val="0"/>
        <w:spacing w:line="360" w:lineRule="auto"/>
        <w:ind w:right="560" w:firstLine="2240" w:firstLineChars="8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法定代表人或其委托代理人：（</w:t>
      </w:r>
      <w:r>
        <w:rPr>
          <w:rFonts w:hint="eastAsia" w:asciiTheme="minorEastAsia" w:hAnsiTheme="minorEastAsia" w:eastAsiaTheme="minorEastAsia"/>
          <w:sz w:val="28"/>
          <w:szCs w:val="28"/>
        </w:rPr>
        <w:t>签字或盖章</w:t>
      </w:r>
      <w:r>
        <w:rPr>
          <w:rFonts w:hint="eastAsia" w:cs="宋体" w:asciiTheme="minorEastAsia" w:hAnsiTheme="minorEastAsia" w:eastAsiaTheme="minorEastAsia"/>
          <w:sz w:val="28"/>
          <w:szCs w:val="28"/>
        </w:rPr>
        <w:t>）</w:t>
      </w:r>
    </w:p>
    <w:p>
      <w:pPr>
        <w:spacing w:line="276" w:lineRule="auto"/>
        <w:ind w:firstLine="2240" w:firstLineChars="800"/>
        <w:rPr>
          <w:rStyle w:val="46"/>
          <w:rFonts w:cs="宋体"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pStyle w:val="3"/>
        <w:tabs>
          <w:tab w:val="left" w:pos="2775"/>
          <w:tab w:val="center" w:pos="4451"/>
        </w:tabs>
        <w:spacing w:before="0" w:after="0" w:line="360" w:lineRule="auto"/>
        <w:jc w:val="left"/>
        <w:rPr>
          <w:rStyle w:val="39"/>
          <w:rFonts w:asciiTheme="minorEastAsia" w:hAnsiTheme="minorEastAsia" w:eastAsiaTheme="minorEastAsia"/>
          <w:b w:val="0"/>
          <w:bCs w:val="0"/>
          <w:color w:val="000000"/>
          <w:sz w:val="28"/>
        </w:rPr>
      </w:pPr>
      <w:bookmarkStart w:id="33" w:name="_Toc40341733"/>
      <w:r>
        <w:rPr>
          <w:rFonts w:asciiTheme="minorEastAsia" w:hAnsiTheme="minorEastAsia" w:eastAsiaTheme="minorEastAsia"/>
          <w:b w:val="0"/>
          <w:bCs w:val="0"/>
          <w:sz w:val="28"/>
          <w:szCs w:val="28"/>
        </w:rPr>
        <w:tab/>
      </w:r>
      <w:r>
        <w:rPr>
          <w:rFonts w:asciiTheme="minorEastAsia" w:hAnsiTheme="minorEastAsia" w:eastAsiaTheme="minorEastAsia"/>
          <w:b w:val="0"/>
          <w:bCs w:val="0"/>
          <w:sz w:val="28"/>
          <w:szCs w:val="28"/>
        </w:rPr>
        <w:tab/>
      </w:r>
      <w:r>
        <w:rPr>
          <w:rFonts w:hint="eastAsia" w:asciiTheme="minorEastAsia" w:hAnsiTheme="minorEastAsia" w:eastAsiaTheme="minorEastAsia"/>
          <w:b w:val="0"/>
          <w:bCs w:val="0"/>
          <w:sz w:val="28"/>
          <w:szCs w:val="28"/>
        </w:rPr>
        <w:t>六、</w:t>
      </w:r>
      <w:r>
        <w:rPr>
          <w:rStyle w:val="39"/>
          <w:rFonts w:hint="eastAsia" w:asciiTheme="minorEastAsia" w:hAnsiTheme="minorEastAsia" w:eastAsiaTheme="minorEastAsia"/>
          <w:b w:val="0"/>
          <w:bCs w:val="0"/>
          <w:color w:val="000000"/>
          <w:sz w:val="28"/>
        </w:rPr>
        <w:t>投标单位开票信息表</w:t>
      </w:r>
      <w:bookmarkEnd w:id="33"/>
    </w:p>
    <w:p>
      <w:pPr>
        <w:tabs>
          <w:tab w:val="left" w:pos="4845"/>
        </w:tabs>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r>
        <w:rPr>
          <w:rFonts w:asciiTheme="minorEastAsia" w:hAnsiTheme="minorEastAsia" w:eastAsiaTheme="minorEastAsia"/>
          <w:sz w:val="28"/>
          <w:szCs w:val="28"/>
        </w:rPr>
        <w:tab/>
      </w:r>
    </w:p>
    <w:p>
      <w:pPr>
        <w:spacing w:line="500" w:lineRule="exact"/>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3</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7-12</w:t>
      </w:r>
      <w:r>
        <w:rPr>
          <w:rFonts w:hint="eastAsia" w:asciiTheme="minorEastAsia" w:hAnsiTheme="minorEastAsia" w:eastAsiaTheme="minorEastAsia"/>
          <w:b/>
          <w:bCs/>
          <w:sz w:val="28"/>
          <w:szCs w:val="28"/>
          <w:u w:val="single"/>
        </w:rPr>
        <w:t>月炼钢用</w:t>
      </w:r>
      <w:r>
        <w:rPr>
          <w:rFonts w:hint="eastAsia" w:ascii="宋体" w:hAnsi="宋体" w:cs="宋体"/>
          <w:b/>
          <w:bCs/>
          <w:sz w:val="28"/>
          <w:szCs w:val="28"/>
          <w:u w:val="single"/>
        </w:rPr>
        <w:t>高碱度覆</w:t>
      </w:r>
      <w:r>
        <w:rPr>
          <w:rFonts w:hint="eastAsia" w:ascii="宋体" w:hAnsi="宋体"/>
          <w:b/>
          <w:bCs/>
          <w:sz w:val="28"/>
          <w:szCs w:val="28"/>
          <w:u w:val="single"/>
        </w:rPr>
        <w:t>盖剂</w:t>
      </w:r>
      <w:r>
        <w:rPr>
          <w:rFonts w:hint="eastAsia" w:asciiTheme="minorEastAsia" w:hAnsiTheme="minorEastAsia" w:eastAsiaTheme="minorEastAsia"/>
          <w:sz w:val="28"/>
          <w:szCs w:val="28"/>
        </w:rPr>
        <w:t>项目招标文件（项目编号</w:t>
      </w:r>
      <w:r>
        <w:rPr>
          <w:rFonts w:hint="eastAsia" w:asciiTheme="minorEastAsia" w:hAnsiTheme="minorEastAsia" w:eastAsiaTheme="minorEastAsia"/>
          <w:b/>
          <w:sz w:val="28"/>
          <w:szCs w:val="28"/>
          <w:lang w:val="en-US" w:eastAsia="zh-CN"/>
        </w:rPr>
        <w:t>HGJY-G2023084</w:t>
      </w:r>
      <w:r>
        <w:rPr>
          <w:rFonts w:hint="eastAsia" w:asciiTheme="minorEastAsia" w:hAnsiTheme="minorEastAsia" w:eastAsiaTheme="minorEastAsia"/>
          <w:sz w:val="28"/>
          <w:szCs w:val="28"/>
        </w:rPr>
        <w:t xml:space="preserve">）规定，我方承诺填报开票信息内容均真实、准确、有效。如我方中标，并按规定交纳中标服务费，是否需要向招标方申领票据。（ </w:t>
      </w:r>
      <w:r>
        <w:rPr>
          <w:rFonts w:hint="eastAsia" w:asciiTheme="minorEastAsia" w:hAnsiTheme="minorEastAsia" w:eastAsiaTheme="minorEastAsia"/>
          <w:bCs/>
          <w:sz w:val="28"/>
          <w:szCs w:val="28"/>
        </w:rPr>
        <w:t>□是</w:t>
      </w: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否；</w:t>
      </w:r>
      <w:r>
        <w:rPr>
          <w:rFonts w:hint="eastAsia" w:asciiTheme="minorEastAsia" w:hAnsiTheme="minorEastAsia" w:eastAsiaTheme="minorEastAsia"/>
          <w:b/>
          <w:bCs/>
          <w:sz w:val="28"/>
          <w:szCs w:val="28"/>
        </w:rPr>
        <w:t>□中√选</w:t>
      </w:r>
      <w:r>
        <w:rPr>
          <w:rFonts w:hint="eastAsia" w:asciiTheme="minorEastAsia" w:hAnsiTheme="minorEastAsia" w:eastAsiaTheme="minorEastAsia"/>
          <w:sz w:val="28"/>
          <w:szCs w:val="28"/>
        </w:rPr>
        <w:t>）我方开票信息见下表：</w:t>
      </w:r>
    </w:p>
    <w:tbl>
      <w:tblPr>
        <w:tblStyle w:val="3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开票名称：</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纳税人识别号：</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地址：</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固定电话：</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开户银行：</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77"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银行账号</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p>
    <w:p>
      <w:pPr>
        <w:snapToGrid w:val="0"/>
        <w:spacing w:line="360" w:lineRule="auto"/>
        <w:ind w:right="560" w:firstLine="1820" w:firstLineChars="65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 ： （盖单位公章）</w:t>
      </w:r>
    </w:p>
    <w:p>
      <w:pPr>
        <w:wordWrap w:val="0"/>
        <w:snapToGrid w:val="0"/>
        <w:spacing w:line="360" w:lineRule="auto"/>
        <w:ind w:right="560" w:firstLine="1680" w:firstLineChars="6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法定代表人或其委托代理人：      （</w:t>
      </w:r>
      <w:r>
        <w:rPr>
          <w:rFonts w:hint="eastAsia" w:asciiTheme="minorEastAsia" w:hAnsiTheme="minorEastAsia" w:eastAsiaTheme="minorEastAsia"/>
          <w:sz w:val="28"/>
          <w:szCs w:val="28"/>
        </w:rPr>
        <w:t>签字或盖章</w:t>
      </w:r>
      <w:r>
        <w:rPr>
          <w:rFonts w:hint="eastAsia" w:cs="宋体" w:asciiTheme="minorEastAsia" w:hAnsiTheme="minorEastAsia" w:eastAsiaTheme="minorEastAsia"/>
          <w:sz w:val="28"/>
          <w:szCs w:val="28"/>
        </w:rPr>
        <w:t>）</w:t>
      </w:r>
    </w:p>
    <w:p>
      <w:pPr>
        <w:spacing w:line="276" w:lineRule="auto"/>
        <w:rPr>
          <w:rStyle w:val="46"/>
          <w:rFonts w:cs="宋体" w:asciiTheme="minorEastAsia" w:hAnsiTheme="minorEastAsia" w:eastAsiaTheme="minorEastAsia"/>
          <w:sz w:val="28"/>
          <w:szCs w:val="28"/>
        </w:rPr>
      </w:pPr>
      <w:r>
        <w:rPr>
          <w:rFonts w:hint="eastAsia" w:asciiTheme="minorEastAsia" w:hAnsiTheme="minorEastAsia" w:eastAsiaTheme="minorEastAsia"/>
          <w:sz w:val="28"/>
          <w:szCs w:val="28"/>
        </w:rPr>
        <w:t xml:space="preserve">             日  期：     年     月     日</w:t>
      </w: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pStyle w:val="27"/>
        <w:tabs>
          <w:tab w:val="right" w:leader="dot" w:pos="8720"/>
        </w:tabs>
        <w:ind w:left="0" w:leftChars="0"/>
        <w:jc w:val="left"/>
        <w:rPr>
          <w:rFonts w:cs="宋体" w:asciiTheme="minorEastAsia" w:hAnsiTheme="minorEastAsia" w:eastAsiaTheme="minorEastAsia"/>
          <w:sz w:val="28"/>
          <w:szCs w:val="28"/>
          <w:lang w:val="zh-CN"/>
        </w:rPr>
      </w:pPr>
    </w:p>
    <w:p>
      <w:pPr>
        <w:pStyle w:val="3"/>
        <w:numPr>
          <w:ilvl w:val="0"/>
          <w:numId w:val="19"/>
        </w:numPr>
        <w:spacing w:before="0" w:after="0" w:line="360" w:lineRule="auto"/>
        <w:jc w:val="center"/>
        <w:rPr>
          <w:rFonts w:asciiTheme="minorEastAsia" w:hAnsiTheme="minorEastAsia" w:eastAsiaTheme="minorEastAsia"/>
          <w:b w:val="0"/>
          <w:bCs w:val="0"/>
          <w:sz w:val="28"/>
          <w:szCs w:val="28"/>
        </w:rPr>
      </w:pPr>
      <w:bookmarkStart w:id="34" w:name="_Toc1544825"/>
      <w:bookmarkStart w:id="35" w:name="_Toc7669"/>
      <w:bookmarkStart w:id="36" w:name="_Toc4308"/>
      <w:bookmarkStart w:id="37" w:name="_Toc485718608"/>
      <w:bookmarkStart w:id="38" w:name="_Toc482194984"/>
      <w:bookmarkStart w:id="39" w:name="_Toc19191"/>
      <w:bookmarkStart w:id="40" w:name="_Toc14168"/>
      <w:bookmarkStart w:id="41" w:name="_Toc482193558"/>
      <w:bookmarkStart w:id="42" w:name="_Toc479587994"/>
      <w:bookmarkStart w:id="43" w:name="_Toc498065858"/>
      <w:bookmarkStart w:id="44" w:name="_Toc494275662"/>
      <w:bookmarkStart w:id="45" w:name="_Toc5430"/>
      <w:bookmarkStart w:id="46" w:name="_Toc494274201"/>
      <w:bookmarkStart w:id="47" w:name="_Toc11139"/>
      <w:r>
        <w:rPr>
          <w:rFonts w:hint="eastAsia" w:asciiTheme="minorEastAsia" w:hAnsiTheme="minorEastAsia" w:eastAsiaTheme="minorEastAsia"/>
          <w:b w:val="0"/>
          <w:bCs w:val="0"/>
          <w:sz w:val="28"/>
          <w:szCs w:val="28"/>
        </w:rPr>
        <w:t>开标一览表</w:t>
      </w:r>
      <w:bookmarkEnd w:id="34"/>
    </w:p>
    <w:p/>
    <w:p/>
    <w:p>
      <w:pPr>
        <w:tabs>
          <w:tab w:val="left" w:pos="6420"/>
        </w:tabs>
      </w:pPr>
      <w:r>
        <w:tab/>
      </w:r>
    </w:p>
    <w:p>
      <w:pPr>
        <w:pStyle w:val="3"/>
        <w:snapToGrid w:val="0"/>
        <w:spacing w:before="0" w:after="0" w:line="288" w:lineRule="auto"/>
        <w:rPr>
          <w:rFonts w:cs="宋体" w:asciiTheme="minorEastAsia" w:hAnsiTheme="minorEastAsia" w:eastAsiaTheme="minorEastAsia"/>
          <w:b w:val="0"/>
          <w:bCs w:val="0"/>
          <w:sz w:val="28"/>
          <w:szCs w:val="28"/>
        </w:rPr>
      </w:pPr>
      <w:bookmarkStart w:id="48" w:name="_Toc1544826"/>
      <w:r>
        <w:rPr>
          <w:rFonts w:hint="eastAsia" w:cs="宋体" w:asciiTheme="minorEastAsia" w:hAnsiTheme="minorEastAsia" w:eastAsiaTheme="minorEastAsia"/>
          <w:b w:val="0"/>
          <w:bCs w:val="0"/>
          <w:sz w:val="28"/>
          <w:szCs w:val="28"/>
        </w:rPr>
        <w:t>详见EXCEL版《开标一览表》。</w:t>
      </w:r>
      <w:bookmarkEnd w:id="48"/>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3"/>
        <w:spacing w:before="0" w:after="0" w:line="360" w:lineRule="auto"/>
        <w:jc w:val="center"/>
        <w:rPr>
          <w:rFonts w:asciiTheme="minorEastAsia" w:hAnsiTheme="minorEastAsia" w:eastAsiaTheme="minorEastAsia"/>
          <w:b w:val="0"/>
          <w:bCs w:val="0"/>
          <w:sz w:val="28"/>
          <w:szCs w:val="28"/>
        </w:rPr>
      </w:pPr>
      <w:bookmarkStart w:id="49" w:name="_Toc1544827"/>
      <w:r>
        <w:rPr>
          <w:rFonts w:hint="eastAsia" w:asciiTheme="minorEastAsia" w:hAnsiTheme="minorEastAsia" w:eastAsiaTheme="minorEastAsia"/>
          <w:b w:val="0"/>
          <w:bCs w:val="0"/>
          <w:sz w:val="28"/>
          <w:szCs w:val="28"/>
        </w:rPr>
        <w:t>二.商务/技术偏离表</w:t>
      </w:r>
      <w:bookmarkEnd w:id="49"/>
    </w:p>
    <w:p>
      <w:pPr>
        <w:pStyle w:val="3"/>
        <w:snapToGrid w:val="0"/>
        <w:spacing w:before="0" w:after="0" w:line="288" w:lineRule="auto"/>
        <w:rPr>
          <w:rFonts w:cs="宋体" w:asciiTheme="minorEastAsia" w:hAnsiTheme="minorEastAsia" w:eastAsiaTheme="minorEastAsia"/>
          <w:b w:val="0"/>
          <w:bCs w:val="0"/>
          <w:sz w:val="28"/>
          <w:szCs w:val="28"/>
        </w:rPr>
      </w:pPr>
      <w:r>
        <w:rPr>
          <w:rFonts w:hint="eastAsia" w:cs="宋体" w:asciiTheme="minorEastAsia" w:hAnsiTheme="minorEastAsia" w:eastAsiaTheme="minorEastAsia"/>
          <w:b w:val="0"/>
          <w:bCs w:val="0"/>
          <w:sz w:val="28"/>
          <w:szCs w:val="28"/>
        </w:rPr>
        <w:t>详见EXCEL版《</w:t>
      </w:r>
      <w:r>
        <w:rPr>
          <w:rFonts w:hint="eastAsia" w:asciiTheme="minorEastAsia" w:hAnsiTheme="minorEastAsia" w:eastAsiaTheme="minorEastAsia"/>
          <w:b w:val="0"/>
          <w:bCs w:val="0"/>
          <w:sz w:val="28"/>
          <w:szCs w:val="28"/>
        </w:rPr>
        <w:t>商务/技术偏离表</w:t>
      </w:r>
      <w:r>
        <w:rPr>
          <w:rFonts w:hint="eastAsia" w:cs="宋体" w:asciiTheme="minorEastAsia" w:hAnsiTheme="minorEastAsia" w:eastAsiaTheme="minorEastAsia"/>
          <w:b w:val="0"/>
          <w:bCs w:val="0"/>
          <w:sz w:val="28"/>
          <w:szCs w:val="28"/>
        </w:rPr>
        <w:t>》。</w:t>
      </w:r>
    </w:p>
    <w:p>
      <w:pPr>
        <w:rPr>
          <w:rFonts w:cs="宋体" w:asciiTheme="minorEastAsia" w:hAnsiTheme="minorEastAsia" w:eastAsiaTheme="minorEastAsia"/>
          <w:sz w:val="28"/>
          <w:szCs w:val="28"/>
        </w:rPr>
      </w:pPr>
    </w:p>
    <w:bookmarkEnd w:id="35"/>
    <w:bookmarkEnd w:id="36"/>
    <w:bookmarkEnd w:id="37"/>
    <w:bookmarkEnd w:id="38"/>
    <w:bookmarkEnd w:id="39"/>
    <w:bookmarkEnd w:id="40"/>
    <w:bookmarkEnd w:id="41"/>
    <w:bookmarkEnd w:id="42"/>
    <w:bookmarkEnd w:id="43"/>
    <w:bookmarkEnd w:id="44"/>
    <w:bookmarkEnd w:id="45"/>
    <w:bookmarkEnd w:id="46"/>
    <w:bookmarkEnd w:id="47"/>
    <w:p>
      <w:pPr>
        <w:rPr>
          <w:rFonts w:cs="宋体" w:asciiTheme="minorEastAsia" w:hAnsiTheme="minorEastAsia" w:eastAsiaTheme="minorEastAsia"/>
          <w:sz w:val="28"/>
          <w:szCs w:val="28"/>
        </w:rPr>
      </w:pPr>
    </w:p>
    <w:sectPr>
      <w:footerReference r:id="rId4" w:type="default"/>
      <w:pgSz w:w="11907" w:h="16840"/>
      <w:pgMar w:top="1304" w:right="1304" w:bottom="1304" w:left="1701"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yTDz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5ckw81wEAALEDAAAOAAAAAAAAAAEA&#10;IAAAACIBAABkcnMvZTJvRG9jLnhtbFBLBQYAAAAABgAGAFkBAABrBQ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0"/>
                              <w:rFonts w:ascii="宋体" w:hAnsi="宋体"/>
                              <w:sz w:val="21"/>
                              <w:szCs w:val="21"/>
                            </w:rPr>
                          </w:pPr>
                          <w:r>
                            <w:rPr>
                              <w:rFonts w:hint="eastAsia" w:ascii="宋体" w:hAnsi="宋体"/>
                              <w:sz w:val="21"/>
                              <w:szCs w:val="21"/>
                            </w:rPr>
                            <w:fldChar w:fldCharType="begin"/>
                          </w:r>
                          <w:r>
                            <w:rPr>
                              <w:rStyle w:val="40"/>
                              <w:rFonts w:hint="eastAsia" w:ascii="宋体" w:hAnsi="宋体"/>
                              <w:sz w:val="21"/>
                              <w:szCs w:val="21"/>
                            </w:rPr>
                            <w:instrText xml:space="preserve">PAGE  </w:instrText>
                          </w:r>
                          <w:r>
                            <w:rPr>
                              <w:rFonts w:hint="eastAsia" w:ascii="宋体" w:hAnsi="宋体"/>
                              <w:sz w:val="21"/>
                              <w:szCs w:val="21"/>
                            </w:rPr>
                            <w:fldChar w:fldCharType="separate"/>
                          </w:r>
                          <w:r>
                            <w:rPr>
                              <w:rStyle w:val="40"/>
                              <w:rFonts w:ascii="宋体" w:hAnsi="宋体"/>
                              <w:sz w:val="21"/>
                              <w:szCs w:val="21"/>
                            </w:rPr>
                            <w:t>23</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0"/>
                        <w:rFonts w:ascii="宋体" w:hAnsi="宋体"/>
                        <w:sz w:val="21"/>
                        <w:szCs w:val="21"/>
                      </w:rPr>
                    </w:pPr>
                    <w:r>
                      <w:rPr>
                        <w:rFonts w:hint="eastAsia" w:ascii="宋体" w:hAnsi="宋体"/>
                        <w:sz w:val="21"/>
                        <w:szCs w:val="21"/>
                      </w:rPr>
                      <w:fldChar w:fldCharType="begin"/>
                    </w:r>
                    <w:r>
                      <w:rPr>
                        <w:rStyle w:val="40"/>
                        <w:rFonts w:hint="eastAsia" w:ascii="宋体" w:hAnsi="宋体"/>
                        <w:sz w:val="21"/>
                        <w:szCs w:val="21"/>
                      </w:rPr>
                      <w:instrText xml:space="preserve">PAGE  </w:instrText>
                    </w:r>
                    <w:r>
                      <w:rPr>
                        <w:rFonts w:hint="eastAsia" w:ascii="宋体" w:hAnsi="宋体"/>
                        <w:sz w:val="21"/>
                        <w:szCs w:val="21"/>
                      </w:rPr>
                      <w:fldChar w:fldCharType="separate"/>
                    </w:r>
                    <w:r>
                      <w:rPr>
                        <w:rStyle w:val="40"/>
                        <w:rFonts w:ascii="宋体" w:hAnsi="宋体"/>
                        <w:sz w:val="21"/>
                        <w:szCs w:val="21"/>
                      </w:rPr>
                      <w:t>23</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625E"/>
    <w:multiLevelType w:val="multilevel"/>
    <w:tmpl w:val="023F625E"/>
    <w:lvl w:ilvl="0" w:tentative="0">
      <w:start w:val="5"/>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tentative="0">
      <w:start w:val="9"/>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2">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3">
    <w:nsid w:val="17F256FB"/>
    <w:multiLevelType w:val="multilevel"/>
    <w:tmpl w:val="17F256FB"/>
    <w:lvl w:ilvl="0" w:tentative="0">
      <w:start w:val="7"/>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tentative="0">
      <w:start w:val="1"/>
      <w:numFmt w:val="decimal"/>
      <w:lvlText w:val="%1、"/>
      <w:lvlJc w:val="left"/>
      <w:pPr>
        <w:tabs>
          <w:tab w:val="left" w:pos="851"/>
        </w:tabs>
        <w:ind w:left="851" w:hanging="511"/>
      </w:pPr>
      <w:rPr>
        <w:rFonts w:hint="eastAsia" w:eastAsia="宋体"/>
        <w:b w:val="0"/>
        <w:i w:val="0"/>
        <w:sz w:val="24"/>
        <w:szCs w:val="24"/>
      </w:rPr>
    </w:lvl>
    <w:lvl w:ilvl="1" w:tentative="0">
      <w:start w:val="1"/>
      <w:numFmt w:val="decimal"/>
      <w:lvlText w:val="（%2）"/>
      <w:lvlJc w:val="left"/>
      <w:pPr>
        <w:tabs>
          <w:tab w:val="left" w:pos="720"/>
        </w:tabs>
        <w:ind w:left="477" w:hanging="47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32F758D"/>
    <w:multiLevelType w:val="multilevel"/>
    <w:tmpl w:val="232F758D"/>
    <w:lvl w:ilvl="0" w:tentative="0">
      <w:start w:val="4"/>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tentative="0">
      <w:start w:val="6"/>
      <w:numFmt w:val="decimal"/>
      <w:lvlText w:val="%1"/>
      <w:lvlJc w:val="left"/>
      <w:pPr>
        <w:tabs>
          <w:tab w:val="left" w:pos="432"/>
        </w:tabs>
        <w:ind w:left="432" w:hanging="432"/>
      </w:pPr>
      <w:rPr>
        <w:rFonts w:hint="eastAsia" w:eastAsia="宋体"/>
        <w:b/>
        <w:i w:val="0"/>
        <w:sz w:val="24"/>
      </w:rPr>
    </w:lvl>
    <w:lvl w:ilvl="1" w:tentative="0">
      <w:start w:val="1"/>
      <w:numFmt w:val="decimal"/>
      <w:isLgl/>
      <w:lvlText w:val="%1.%2"/>
      <w:lvlJc w:val="left"/>
      <w:pPr>
        <w:tabs>
          <w:tab w:val="left" w:pos="576"/>
        </w:tabs>
        <w:ind w:left="576" w:hanging="576"/>
      </w:pPr>
      <w:rPr>
        <w:rFonts w:hint="eastAsia" w:eastAsia="宋体"/>
        <w:b w:val="0"/>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311A731E"/>
    <w:multiLevelType w:val="multilevel"/>
    <w:tmpl w:val="311A731E"/>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8">
    <w:nsid w:val="32077021"/>
    <w:multiLevelType w:val="multilevel"/>
    <w:tmpl w:val="32077021"/>
    <w:lvl w:ilvl="0" w:tentative="0">
      <w:start w:val="8"/>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9">
    <w:nsid w:val="34141219"/>
    <w:multiLevelType w:val="multilevel"/>
    <w:tmpl w:val="34141219"/>
    <w:lvl w:ilvl="0" w:tentative="0">
      <w:start w:val="6"/>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0">
    <w:nsid w:val="4BEA0717"/>
    <w:multiLevelType w:val="multilevel"/>
    <w:tmpl w:val="4BEA071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9C0D13"/>
    <w:multiLevelType w:val="multilevel"/>
    <w:tmpl w:val="4D9C0D13"/>
    <w:lvl w:ilvl="0" w:tentative="0">
      <w:start w:val="10"/>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5DA29F9"/>
    <w:multiLevelType w:val="multilevel"/>
    <w:tmpl w:val="65DA29F9"/>
    <w:lvl w:ilvl="0" w:tentative="0">
      <w:start w:val="3"/>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4">
    <w:nsid w:val="68292A80"/>
    <w:multiLevelType w:val="multilevel"/>
    <w:tmpl w:val="68292A80"/>
    <w:lvl w:ilvl="0" w:tentative="0">
      <w:start w:val="1"/>
      <w:numFmt w:val="decimal"/>
      <w:lvlText w:val="%1."/>
      <w:lvlJc w:val="left"/>
      <w:pPr>
        <w:tabs>
          <w:tab w:val="left" w:pos="300"/>
        </w:tabs>
        <w:ind w:left="300" w:hanging="300"/>
      </w:pPr>
      <w:rPr>
        <w:strike w:val="0"/>
        <w:dstrike w:val="0"/>
        <w:u w:val="none"/>
      </w:rPr>
    </w:lvl>
    <w:lvl w:ilvl="1" w:tentative="0">
      <w:start w:val="1"/>
      <w:numFmt w:val="decimal"/>
      <w:isLgl/>
      <w:lvlText w:val="%1.%2"/>
      <w:lvlJc w:val="left"/>
      <w:pPr>
        <w:tabs>
          <w:tab w:val="left" w:pos="480"/>
        </w:tabs>
        <w:ind w:left="480" w:hanging="48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800"/>
        </w:tabs>
        <w:ind w:left="1800" w:hanging="180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2160"/>
        </w:tabs>
        <w:ind w:left="2160" w:hanging="2160"/>
      </w:pPr>
    </w:lvl>
  </w:abstractNum>
  <w:abstractNum w:abstractNumId="15">
    <w:nsid w:val="68D44C88"/>
    <w:multiLevelType w:val="multilevel"/>
    <w:tmpl w:val="68D44C88"/>
    <w:lvl w:ilvl="0" w:tentative="0">
      <w:start w:val="1"/>
      <w:numFmt w:val="decimal"/>
      <w:lvlText w:val="5.1.%1"/>
      <w:lvlJc w:val="left"/>
      <w:pPr>
        <w:tabs>
          <w:tab w:val="left" w:pos="1974"/>
        </w:tabs>
        <w:ind w:left="1974" w:hanging="68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5132A92"/>
    <w:multiLevelType w:val="multilevel"/>
    <w:tmpl w:val="75132A9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BFA7AB0"/>
    <w:multiLevelType w:val="multilevel"/>
    <w:tmpl w:val="7BFA7AB0"/>
    <w:lvl w:ilvl="0" w:tentative="0">
      <w:start w:val="1"/>
      <w:numFmt w:val="japaneseCounting"/>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18">
    <w:nsid w:val="7D376BCF"/>
    <w:multiLevelType w:val="multilevel"/>
    <w:tmpl w:val="7D376BCF"/>
    <w:lvl w:ilvl="0" w:tentative="0">
      <w:start w:val="2"/>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num w:numId="1">
    <w:abstractNumId w:val="1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5"/>
  </w:num>
  <w:num w:numId="8">
    <w:abstractNumId w:val="0"/>
  </w:num>
  <w:num w:numId="9">
    <w:abstractNumId w:val="15"/>
  </w:num>
  <w:num w:numId="10">
    <w:abstractNumId w:val="9"/>
  </w:num>
  <w:num w:numId="11">
    <w:abstractNumId w:val="6"/>
  </w:num>
  <w:num w:numId="12">
    <w:abstractNumId w:val="3"/>
  </w:num>
  <w:num w:numId="13">
    <w:abstractNumId w:val="8"/>
  </w:num>
  <w:num w:numId="14">
    <w:abstractNumId w:val="1"/>
  </w:num>
  <w:num w:numId="15">
    <w:abstractNumId w:val="11"/>
  </w:num>
  <w:num w:numId="16">
    <w:abstractNumId w:val="17"/>
  </w:num>
  <w:num w:numId="17">
    <w:abstractNumId w:val="4"/>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C7F3B"/>
    <w:rsid w:val="000D36DF"/>
    <w:rsid w:val="000D5742"/>
    <w:rsid w:val="000D64E0"/>
    <w:rsid w:val="000E1C04"/>
    <w:rsid w:val="000E1F95"/>
    <w:rsid w:val="000E29A8"/>
    <w:rsid w:val="000E6149"/>
    <w:rsid w:val="000E79F5"/>
    <w:rsid w:val="00100772"/>
    <w:rsid w:val="00101779"/>
    <w:rsid w:val="00101C03"/>
    <w:rsid w:val="00101FAC"/>
    <w:rsid w:val="001020D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2002C8"/>
    <w:rsid w:val="002032DE"/>
    <w:rsid w:val="00203ADE"/>
    <w:rsid w:val="00204822"/>
    <w:rsid w:val="00206B56"/>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04B4"/>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14B0700"/>
    <w:rsid w:val="02716055"/>
    <w:rsid w:val="02AA334F"/>
    <w:rsid w:val="036234BE"/>
    <w:rsid w:val="08156DD4"/>
    <w:rsid w:val="0A8E2CA5"/>
    <w:rsid w:val="0CC42363"/>
    <w:rsid w:val="0D3C1518"/>
    <w:rsid w:val="0E424DF6"/>
    <w:rsid w:val="0FC32327"/>
    <w:rsid w:val="15AE1907"/>
    <w:rsid w:val="167D385F"/>
    <w:rsid w:val="168C1E7A"/>
    <w:rsid w:val="1D7C0C4A"/>
    <w:rsid w:val="25753C8C"/>
    <w:rsid w:val="274813E4"/>
    <w:rsid w:val="27645264"/>
    <w:rsid w:val="297968E2"/>
    <w:rsid w:val="30345091"/>
    <w:rsid w:val="31A368CD"/>
    <w:rsid w:val="35B67559"/>
    <w:rsid w:val="3F364F8E"/>
    <w:rsid w:val="41C24181"/>
    <w:rsid w:val="449D4221"/>
    <w:rsid w:val="457643E5"/>
    <w:rsid w:val="49447572"/>
    <w:rsid w:val="4A3738F3"/>
    <w:rsid w:val="4A83340C"/>
    <w:rsid w:val="4BB24A12"/>
    <w:rsid w:val="4F6F01E1"/>
    <w:rsid w:val="55CE5E6C"/>
    <w:rsid w:val="56ED7474"/>
    <w:rsid w:val="5B5F280C"/>
    <w:rsid w:val="5C221066"/>
    <w:rsid w:val="5D6025E6"/>
    <w:rsid w:val="5D6D4EE5"/>
    <w:rsid w:val="5D992514"/>
    <w:rsid w:val="5E907888"/>
    <w:rsid w:val="60CE1B98"/>
    <w:rsid w:val="63C60097"/>
    <w:rsid w:val="63FF21E1"/>
    <w:rsid w:val="64A8611D"/>
    <w:rsid w:val="664932AB"/>
    <w:rsid w:val="674F5FEE"/>
    <w:rsid w:val="67E90282"/>
    <w:rsid w:val="72744F2F"/>
    <w:rsid w:val="731E678F"/>
    <w:rsid w:val="78E90572"/>
    <w:rsid w:val="7ADA36C9"/>
    <w:rsid w:val="7F585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5"/>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6"/>
    <w:qFormat/>
    <w:uiPriority w:val="0"/>
    <w:pPr>
      <w:widowControl/>
      <w:spacing w:line="360" w:lineRule="auto"/>
      <w:outlineLvl w:val="2"/>
    </w:pPr>
    <w:rPr>
      <w:b/>
      <w:bCs/>
      <w:sz w:val="24"/>
    </w:rPr>
  </w:style>
  <w:style w:type="paragraph" w:styleId="5">
    <w:name w:val="heading 4"/>
    <w:basedOn w:val="1"/>
    <w:next w:val="1"/>
    <w:link w:val="47"/>
    <w:qFormat/>
    <w:uiPriority w:val="0"/>
    <w:pPr>
      <w:keepNext/>
      <w:keepLines/>
      <w:spacing w:line="360" w:lineRule="auto"/>
      <w:outlineLvl w:val="3"/>
    </w:pPr>
    <w:rPr>
      <w:rFonts w:ascii="Arial" w:hAnsi="Arial"/>
      <w:b/>
      <w:bCs/>
      <w:szCs w:val="28"/>
    </w:rPr>
  </w:style>
  <w:style w:type="paragraph" w:styleId="6">
    <w:name w:val="heading 5"/>
    <w:basedOn w:val="1"/>
    <w:next w:val="1"/>
    <w:link w:val="48"/>
    <w:qFormat/>
    <w:uiPriority w:val="0"/>
    <w:pPr>
      <w:keepNext/>
      <w:keepLines/>
      <w:spacing w:before="280" w:after="290" w:line="372" w:lineRule="auto"/>
      <w:outlineLvl w:val="4"/>
    </w:pPr>
    <w:rPr>
      <w:b/>
      <w:bCs/>
      <w:sz w:val="28"/>
      <w:szCs w:val="28"/>
    </w:rPr>
  </w:style>
  <w:style w:type="paragraph" w:styleId="7">
    <w:name w:val="heading 6"/>
    <w:basedOn w:val="1"/>
    <w:next w:val="1"/>
    <w:link w:val="49"/>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0"/>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1"/>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2"/>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6"/>
    <w:qFormat/>
    <w:uiPriority w:val="0"/>
    <w:pPr>
      <w:jc w:val="left"/>
    </w:pPr>
  </w:style>
  <w:style w:type="paragraph" w:styleId="15">
    <w:name w:val="Body Text"/>
    <w:basedOn w:val="1"/>
    <w:link w:val="88"/>
    <w:qFormat/>
    <w:uiPriority w:val="0"/>
    <w:pPr>
      <w:spacing w:after="120"/>
    </w:pPr>
  </w:style>
  <w:style w:type="paragraph" w:styleId="16">
    <w:name w:val="Body Text Indent"/>
    <w:basedOn w:val="1"/>
    <w:link w:val="89"/>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59"/>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3"/>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7"/>
    <w:qFormat/>
    <w:uiPriority w:val="0"/>
    <w:rPr>
      <w:sz w:val="18"/>
      <w:szCs w:val="18"/>
    </w:rPr>
  </w:style>
  <w:style w:type="paragraph" w:styleId="24">
    <w:name w:val="footer"/>
    <w:basedOn w:val="1"/>
    <w:link w:val="53"/>
    <w:qFormat/>
    <w:uiPriority w:val="0"/>
    <w:pPr>
      <w:tabs>
        <w:tab w:val="center" w:pos="4153"/>
        <w:tab w:val="right" w:pos="8306"/>
      </w:tabs>
      <w:snapToGrid w:val="0"/>
      <w:jc w:val="left"/>
    </w:pPr>
    <w:rPr>
      <w:sz w:val="18"/>
      <w:szCs w:val="18"/>
    </w:rPr>
  </w:style>
  <w:style w:type="paragraph" w:styleId="25">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4"/>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4"/>
    <w:qFormat/>
    <w:uiPriority w:val="0"/>
    <w:pPr>
      <w:spacing w:before="240" w:after="60"/>
      <w:jc w:val="center"/>
      <w:outlineLvl w:val="0"/>
    </w:pPr>
    <w:rPr>
      <w:rFonts w:ascii="Cambria" w:hAnsi="Cambria"/>
      <w:b/>
      <w:sz w:val="32"/>
    </w:rPr>
  </w:style>
  <w:style w:type="paragraph" w:styleId="36">
    <w:name w:val="annotation subject"/>
    <w:basedOn w:val="14"/>
    <w:next w:val="14"/>
    <w:link w:val="55"/>
    <w:qFormat/>
    <w:uiPriority w:val="0"/>
    <w:rPr>
      <w:b/>
      <w:bCs/>
    </w:rPr>
  </w:style>
  <w:style w:type="character" w:styleId="39">
    <w:name w:val="Strong"/>
    <w:basedOn w:val="38"/>
    <w:qFormat/>
    <w:uiPriority w:val="22"/>
    <w:rPr>
      <w:rFonts w:ascii="宋体" w:hAnsi="宋体" w:eastAsia="宋体"/>
      <w:b/>
      <w:bCs/>
      <w:sz w:val="24"/>
    </w:rPr>
  </w:style>
  <w:style w:type="character" w:styleId="40">
    <w:name w:val="page number"/>
    <w:basedOn w:val="38"/>
    <w:qFormat/>
    <w:uiPriority w:val="0"/>
  </w:style>
  <w:style w:type="character" w:styleId="41">
    <w:name w:val="FollowedHyperlink"/>
    <w:basedOn w:val="38"/>
    <w:qFormat/>
    <w:uiPriority w:val="99"/>
    <w:rPr>
      <w:color w:val="800080"/>
      <w:u w:val="single"/>
    </w:rPr>
  </w:style>
  <w:style w:type="character" w:styleId="42">
    <w:name w:val="Hyperlink"/>
    <w:basedOn w:val="38"/>
    <w:qFormat/>
    <w:uiPriority w:val="99"/>
    <w:rPr>
      <w:color w:val="0000FF"/>
      <w:u w:val="single"/>
    </w:rPr>
  </w:style>
  <w:style w:type="character" w:styleId="43">
    <w:name w:val="annotation reference"/>
    <w:basedOn w:val="38"/>
    <w:qFormat/>
    <w:uiPriority w:val="0"/>
    <w:rPr>
      <w:sz w:val="21"/>
      <w:szCs w:val="21"/>
    </w:rPr>
  </w:style>
  <w:style w:type="character" w:customStyle="1" w:styleId="44">
    <w:name w:val="标题 1 Char"/>
    <w:basedOn w:val="38"/>
    <w:link w:val="2"/>
    <w:qFormat/>
    <w:uiPriority w:val="0"/>
    <w:rPr>
      <w:rFonts w:ascii="Cambria" w:hAnsi="Cambria"/>
      <w:b/>
      <w:bCs/>
      <w:kern w:val="32"/>
      <w:sz w:val="32"/>
      <w:szCs w:val="32"/>
    </w:rPr>
  </w:style>
  <w:style w:type="character" w:customStyle="1" w:styleId="45">
    <w:name w:val="标题 2 Char"/>
    <w:basedOn w:val="38"/>
    <w:link w:val="3"/>
    <w:qFormat/>
    <w:uiPriority w:val="0"/>
    <w:rPr>
      <w:rFonts w:ascii="Cambria" w:hAnsi="Cambria" w:eastAsia="宋体" w:cs="Times New Roman"/>
      <w:b/>
      <w:bCs/>
      <w:kern w:val="2"/>
      <w:sz w:val="32"/>
      <w:szCs w:val="32"/>
    </w:rPr>
  </w:style>
  <w:style w:type="character" w:customStyle="1" w:styleId="46">
    <w:name w:val="标题 3 Char"/>
    <w:basedOn w:val="38"/>
    <w:link w:val="4"/>
    <w:qFormat/>
    <w:uiPriority w:val="0"/>
    <w:rPr>
      <w:b/>
      <w:bCs/>
      <w:sz w:val="24"/>
      <w:szCs w:val="24"/>
    </w:rPr>
  </w:style>
  <w:style w:type="character" w:customStyle="1" w:styleId="47">
    <w:name w:val="标题 4 Char"/>
    <w:basedOn w:val="38"/>
    <w:link w:val="5"/>
    <w:qFormat/>
    <w:uiPriority w:val="0"/>
    <w:rPr>
      <w:rFonts w:ascii="Arial" w:hAnsi="Arial"/>
      <w:b/>
      <w:bCs/>
      <w:kern w:val="2"/>
      <w:sz w:val="21"/>
      <w:szCs w:val="28"/>
    </w:rPr>
  </w:style>
  <w:style w:type="character" w:customStyle="1" w:styleId="48">
    <w:name w:val="标题 5 Char"/>
    <w:basedOn w:val="38"/>
    <w:link w:val="6"/>
    <w:qFormat/>
    <w:uiPriority w:val="0"/>
    <w:rPr>
      <w:b/>
      <w:bCs/>
      <w:kern w:val="2"/>
      <w:sz w:val="28"/>
      <w:szCs w:val="28"/>
    </w:rPr>
  </w:style>
  <w:style w:type="character" w:customStyle="1" w:styleId="49">
    <w:name w:val="标题 6 Char"/>
    <w:basedOn w:val="38"/>
    <w:link w:val="7"/>
    <w:qFormat/>
    <w:uiPriority w:val="0"/>
    <w:rPr>
      <w:rFonts w:ascii="Arial" w:hAnsi="Arial" w:eastAsia="黑体"/>
      <w:b/>
      <w:bCs/>
      <w:sz w:val="24"/>
      <w:szCs w:val="24"/>
    </w:rPr>
  </w:style>
  <w:style w:type="character" w:customStyle="1" w:styleId="50">
    <w:name w:val="标题 7 Char"/>
    <w:basedOn w:val="38"/>
    <w:link w:val="8"/>
    <w:qFormat/>
    <w:uiPriority w:val="0"/>
    <w:rPr>
      <w:b/>
      <w:bCs/>
      <w:sz w:val="24"/>
      <w:szCs w:val="24"/>
    </w:rPr>
  </w:style>
  <w:style w:type="character" w:customStyle="1" w:styleId="51">
    <w:name w:val="标题 8 Char"/>
    <w:basedOn w:val="38"/>
    <w:link w:val="9"/>
    <w:qFormat/>
    <w:uiPriority w:val="0"/>
    <w:rPr>
      <w:rFonts w:ascii="Arial" w:hAnsi="Arial" w:eastAsia="黑体"/>
      <w:sz w:val="24"/>
      <w:szCs w:val="24"/>
    </w:rPr>
  </w:style>
  <w:style w:type="character" w:customStyle="1" w:styleId="52">
    <w:name w:val="标题 9 Char"/>
    <w:basedOn w:val="38"/>
    <w:link w:val="10"/>
    <w:qFormat/>
    <w:uiPriority w:val="0"/>
    <w:rPr>
      <w:rFonts w:ascii="Arial" w:hAnsi="Arial" w:eastAsia="黑体"/>
      <w:sz w:val="21"/>
      <w:szCs w:val="21"/>
    </w:rPr>
  </w:style>
  <w:style w:type="character" w:customStyle="1" w:styleId="53">
    <w:name w:val="页脚 Char"/>
    <w:basedOn w:val="38"/>
    <w:link w:val="24"/>
    <w:qFormat/>
    <w:uiPriority w:val="0"/>
    <w:rPr>
      <w:kern w:val="2"/>
      <w:sz w:val="18"/>
      <w:szCs w:val="18"/>
    </w:rPr>
  </w:style>
  <w:style w:type="character" w:customStyle="1" w:styleId="54">
    <w:name w:val="正文文本缩进 3 Char"/>
    <w:basedOn w:val="38"/>
    <w:link w:val="29"/>
    <w:qFormat/>
    <w:uiPriority w:val="0"/>
    <w:rPr>
      <w:rFonts w:ascii="宋体" w:hAnsi="MS Sans Serif"/>
      <w:color w:val="000000"/>
      <w:sz w:val="24"/>
    </w:rPr>
  </w:style>
  <w:style w:type="character" w:customStyle="1" w:styleId="55">
    <w:name w:val="批注主题 Char"/>
    <w:basedOn w:val="56"/>
    <w:link w:val="36"/>
    <w:qFormat/>
    <w:uiPriority w:val="0"/>
    <w:rPr>
      <w:b/>
      <w:bCs/>
    </w:rPr>
  </w:style>
  <w:style w:type="character" w:customStyle="1" w:styleId="56">
    <w:name w:val="批注文字 Char"/>
    <w:basedOn w:val="38"/>
    <w:link w:val="14"/>
    <w:qFormat/>
    <w:uiPriority w:val="0"/>
    <w:rPr>
      <w:kern w:val="2"/>
      <w:sz w:val="21"/>
      <w:szCs w:val="24"/>
    </w:rPr>
  </w:style>
  <w:style w:type="character" w:customStyle="1" w:styleId="57">
    <w:name w:val="批注框文本 Char"/>
    <w:basedOn w:val="38"/>
    <w:link w:val="23"/>
    <w:qFormat/>
    <w:uiPriority w:val="0"/>
    <w:rPr>
      <w:kern w:val="2"/>
      <w:sz w:val="18"/>
      <w:szCs w:val="18"/>
    </w:rPr>
  </w:style>
  <w:style w:type="character" w:customStyle="1" w:styleId="58">
    <w:name w:val="p0 Char"/>
    <w:basedOn w:val="38"/>
    <w:qFormat/>
    <w:uiPriority w:val="0"/>
    <w:rPr>
      <w:rFonts w:eastAsia="宋体"/>
      <w:kern w:val="2"/>
      <w:sz w:val="21"/>
      <w:szCs w:val="21"/>
      <w:lang w:val="en-US" w:eastAsia="zh-CN" w:bidi="ar-SA"/>
    </w:rPr>
  </w:style>
  <w:style w:type="character" w:customStyle="1" w:styleId="59">
    <w:name w:val="纯文本 Char"/>
    <w:basedOn w:val="38"/>
    <w:link w:val="19"/>
    <w:qFormat/>
    <w:uiPriority w:val="0"/>
    <w:rPr>
      <w:rFonts w:ascii="宋体" w:hAnsi="Courier New" w:eastAsia="仿宋_GB2312"/>
      <w:kern w:val="2"/>
      <w:sz w:val="32"/>
      <w:szCs w:val="24"/>
    </w:rPr>
  </w:style>
  <w:style w:type="character" w:customStyle="1" w:styleId="60">
    <w:name w:val="页眉 Char"/>
    <w:basedOn w:val="38"/>
    <w:link w:val="25"/>
    <w:qFormat/>
    <w:uiPriority w:val="0"/>
    <w:rPr>
      <w:kern w:val="2"/>
      <w:sz w:val="18"/>
      <w:szCs w:val="18"/>
    </w:rPr>
  </w:style>
  <w:style w:type="character" w:customStyle="1" w:styleId="61">
    <w:name w:val="p0 Char Char"/>
    <w:basedOn w:val="38"/>
    <w:link w:val="62"/>
    <w:qFormat/>
    <w:uiPriority w:val="0"/>
    <w:rPr>
      <w:rFonts w:eastAsia="宋体"/>
      <w:kern w:val="2"/>
      <w:sz w:val="21"/>
      <w:szCs w:val="21"/>
      <w:lang w:val="en-US" w:eastAsia="zh-CN" w:bidi="ar-SA"/>
    </w:rPr>
  </w:style>
  <w:style w:type="paragraph" w:customStyle="1" w:styleId="62">
    <w:name w:val="p0"/>
    <w:basedOn w:val="1"/>
    <w:link w:val="61"/>
    <w:qFormat/>
    <w:uiPriority w:val="0"/>
    <w:pPr>
      <w:widowControl/>
    </w:pPr>
    <w:rPr>
      <w:szCs w:val="21"/>
    </w:rPr>
  </w:style>
  <w:style w:type="character" w:customStyle="1" w:styleId="63">
    <w:name w:val="日期 Char"/>
    <w:basedOn w:val="38"/>
    <w:link w:val="21"/>
    <w:qFormat/>
    <w:uiPriority w:val="0"/>
    <w:rPr>
      <w:kern w:val="2"/>
      <w:sz w:val="21"/>
      <w:szCs w:val="24"/>
    </w:rPr>
  </w:style>
  <w:style w:type="character" w:customStyle="1" w:styleId="64">
    <w:name w:val="标题 Char"/>
    <w:basedOn w:val="38"/>
    <w:link w:val="35"/>
    <w:qFormat/>
    <w:uiPriority w:val="0"/>
    <w:rPr>
      <w:rFonts w:ascii="Cambria" w:hAnsi="Cambria"/>
      <w:b/>
      <w:kern w:val="2"/>
      <w:sz w:val="32"/>
      <w:szCs w:val="24"/>
    </w:rPr>
  </w:style>
  <w:style w:type="paragraph" w:customStyle="1" w:styleId="65">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6">
    <w:name w:val="修订1"/>
    <w:qFormat/>
    <w:uiPriority w:val="0"/>
    <w:rPr>
      <w:rFonts w:ascii="Times New Roman" w:hAnsi="Times New Roman" w:eastAsia="宋体" w:cs="Times New Roman"/>
      <w:kern w:val="2"/>
      <w:sz w:val="21"/>
      <w:szCs w:val="24"/>
      <w:lang w:val="en-US" w:eastAsia="zh-CN" w:bidi="ar-SA"/>
    </w:rPr>
  </w:style>
  <w:style w:type="paragraph" w:customStyle="1" w:styleId="67">
    <w:name w:val="默认段落字体 Para Char Char Char Char Char Char Char Char Char Char Char Char Char Char Char Char Char Char Char"/>
    <w:basedOn w:val="1"/>
    <w:qFormat/>
    <w:uiPriority w:val="0"/>
  </w:style>
  <w:style w:type="paragraph" w:customStyle="1" w:styleId="68">
    <w:name w:val="1 Char Char Char Char"/>
    <w:basedOn w:val="1"/>
    <w:qFormat/>
    <w:uiPriority w:val="0"/>
    <w:rPr>
      <w:rFonts w:ascii="Tahoma" w:hAnsi="Tahoma"/>
      <w:sz w:val="24"/>
      <w:szCs w:val="20"/>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1">
    <w:name w:val="标题2"/>
    <w:basedOn w:val="35"/>
    <w:qFormat/>
    <w:uiPriority w:val="0"/>
    <w:pPr>
      <w:spacing w:after="240"/>
      <w:jc w:val="left"/>
    </w:pPr>
    <w:rPr>
      <w:sz w:val="30"/>
    </w:rPr>
  </w:style>
  <w:style w:type="paragraph" w:customStyle="1" w:styleId="72">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3">
    <w:name w:val="列出段落1"/>
    <w:basedOn w:val="1"/>
    <w:qFormat/>
    <w:uiPriority w:val="0"/>
    <w:pPr>
      <w:ind w:firstLine="420" w:firstLineChars="200"/>
    </w:pPr>
  </w:style>
  <w:style w:type="paragraph" w:customStyle="1" w:styleId="74">
    <w:name w:val="标题3"/>
    <w:basedOn w:val="2"/>
    <w:qFormat/>
    <w:uiPriority w:val="0"/>
    <w:pPr>
      <w:spacing w:beforeLines="50" w:afterLines="50" w:line="400" w:lineRule="exact"/>
    </w:pPr>
    <w:rPr>
      <w:rFonts w:ascii="宋体" w:hAnsi="宋体"/>
      <w:sz w:val="24"/>
    </w:rPr>
  </w:style>
  <w:style w:type="character" w:customStyle="1" w:styleId="75">
    <w:name w:val="javascript"/>
    <w:basedOn w:val="38"/>
    <w:qFormat/>
    <w:uiPriority w:val="0"/>
    <w:rPr>
      <w:rFonts w:ascii="宋体" w:hAnsi="宋体" w:eastAsia="宋体"/>
      <w:sz w:val="24"/>
    </w:rPr>
  </w:style>
  <w:style w:type="character" w:customStyle="1" w:styleId="76">
    <w:name w:val="Char Char16"/>
    <w:basedOn w:val="38"/>
    <w:qFormat/>
    <w:uiPriority w:val="0"/>
    <w:rPr>
      <w:rFonts w:ascii="Cambria" w:hAnsi="Cambria" w:eastAsia="宋体" w:cs="Times New Roman"/>
      <w:b/>
      <w:bCs/>
      <w:kern w:val="2"/>
      <w:sz w:val="32"/>
      <w:szCs w:val="32"/>
    </w:rPr>
  </w:style>
  <w:style w:type="character" w:customStyle="1" w:styleId="77">
    <w:name w:val="Char Char14"/>
    <w:basedOn w:val="38"/>
    <w:qFormat/>
    <w:uiPriority w:val="0"/>
    <w:rPr>
      <w:rFonts w:ascii="Arial" w:hAnsi="Arial" w:eastAsia="宋体"/>
      <w:b/>
      <w:bCs/>
      <w:kern w:val="2"/>
      <w:sz w:val="21"/>
      <w:szCs w:val="28"/>
    </w:rPr>
  </w:style>
  <w:style w:type="character" w:customStyle="1" w:styleId="78">
    <w:name w:val="标题 4 Char1"/>
    <w:qFormat/>
    <w:uiPriority w:val="0"/>
    <w:rPr>
      <w:rFonts w:ascii="Arial" w:hAnsi="Arial" w:eastAsia="宋体"/>
      <w:b/>
      <w:bCs/>
      <w:kern w:val="2"/>
      <w:sz w:val="21"/>
      <w:szCs w:val="28"/>
      <w:lang w:val="en-US" w:eastAsia="zh-CN" w:bidi="ar-SA"/>
    </w:rPr>
  </w:style>
  <w:style w:type="character" w:customStyle="1" w:styleId="79">
    <w:name w:val="Char Char45"/>
    <w:qFormat/>
    <w:uiPriority w:val="0"/>
    <w:rPr>
      <w:rFonts w:ascii="Arial" w:hAnsi="Arial" w:eastAsia="宋体"/>
      <w:b/>
      <w:bCs/>
      <w:kern w:val="2"/>
      <w:sz w:val="21"/>
      <w:szCs w:val="28"/>
      <w:lang w:val="en-US" w:eastAsia="zh-CN" w:bidi="ar-SA"/>
    </w:rPr>
  </w:style>
  <w:style w:type="character" w:customStyle="1" w:styleId="80">
    <w:name w:val="Char Char48"/>
    <w:qFormat/>
    <w:uiPriority w:val="0"/>
    <w:rPr>
      <w:rFonts w:ascii="Cambria" w:hAnsi="Cambria"/>
      <w:b/>
      <w:bCs/>
      <w:kern w:val="32"/>
      <w:sz w:val="32"/>
      <w:szCs w:val="32"/>
    </w:rPr>
  </w:style>
  <w:style w:type="character" w:customStyle="1" w:styleId="81">
    <w:name w:val="Char Char47"/>
    <w:qFormat/>
    <w:uiPriority w:val="0"/>
    <w:rPr>
      <w:rFonts w:ascii="Cambria" w:hAnsi="Cambria" w:eastAsia="宋体"/>
      <w:b/>
      <w:bCs/>
      <w:kern w:val="2"/>
      <w:sz w:val="32"/>
      <w:szCs w:val="32"/>
      <w:lang w:bidi="ar-SA"/>
    </w:rPr>
  </w:style>
  <w:style w:type="character" w:customStyle="1" w:styleId="82">
    <w:name w:val="标题 4 Char2"/>
    <w:basedOn w:val="38"/>
    <w:qFormat/>
    <w:uiPriority w:val="0"/>
    <w:rPr>
      <w:rFonts w:ascii="Arial" w:hAnsi="Arial" w:eastAsia="宋体"/>
      <w:b/>
      <w:bCs/>
      <w:kern w:val="2"/>
      <w:sz w:val="21"/>
      <w:szCs w:val="28"/>
    </w:rPr>
  </w:style>
  <w:style w:type="character" w:customStyle="1" w:styleId="83">
    <w:name w:val="Char Char15"/>
    <w:basedOn w:val="38"/>
    <w:qFormat/>
    <w:uiPriority w:val="0"/>
    <w:rPr>
      <w:rFonts w:ascii="宋体" w:hAnsi="宋体" w:eastAsia="宋体"/>
      <w:b/>
      <w:bCs/>
      <w:sz w:val="24"/>
      <w:szCs w:val="24"/>
    </w:rPr>
  </w:style>
  <w:style w:type="character" w:customStyle="1" w:styleId="84">
    <w:name w:val="Char Char21"/>
    <w:basedOn w:val="38"/>
    <w:qFormat/>
    <w:uiPriority w:val="0"/>
    <w:rPr>
      <w:rFonts w:ascii="Cambria" w:hAnsi="Cambria" w:eastAsia="宋体"/>
      <w:b/>
      <w:bCs/>
      <w:kern w:val="2"/>
      <w:sz w:val="32"/>
      <w:szCs w:val="32"/>
      <w:lang w:val="en-US" w:eastAsia="zh-CN" w:bidi="ar-SA"/>
    </w:rPr>
  </w:style>
  <w:style w:type="character" w:customStyle="1" w:styleId="85">
    <w:name w:val="批注框文本 Char1"/>
    <w:basedOn w:val="38"/>
    <w:qFormat/>
    <w:uiPriority w:val="0"/>
    <w:rPr>
      <w:rFonts w:ascii="宋体" w:hAnsi="宋体" w:eastAsia="宋体"/>
      <w:kern w:val="2"/>
      <w:sz w:val="18"/>
      <w:szCs w:val="18"/>
      <w:lang w:bidi="ar-SA"/>
    </w:rPr>
  </w:style>
  <w:style w:type="character" w:customStyle="1" w:styleId="86">
    <w:name w:val="标题 2 Char1"/>
    <w:qFormat/>
    <w:uiPriority w:val="0"/>
    <w:rPr>
      <w:rFonts w:ascii="Cambria" w:hAnsi="Cambria" w:eastAsia="宋体"/>
      <w:b/>
      <w:bCs/>
      <w:kern w:val="2"/>
      <w:sz w:val="32"/>
      <w:szCs w:val="32"/>
      <w:lang w:val="en-US" w:eastAsia="zh-CN" w:bidi="ar-SA"/>
    </w:rPr>
  </w:style>
  <w:style w:type="character" w:customStyle="1" w:styleId="87">
    <w:name w:val="HTML 预设格式 Char"/>
    <w:basedOn w:val="38"/>
    <w:link w:val="33"/>
    <w:qFormat/>
    <w:uiPriority w:val="0"/>
    <w:rPr>
      <w:rFonts w:ascii="宋体" w:hAnsi="宋体"/>
      <w:kern w:val="2"/>
      <w:sz w:val="24"/>
      <w:szCs w:val="24"/>
    </w:rPr>
  </w:style>
  <w:style w:type="character" w:customStyle="1" w:styleId="88">
    <w:name w:val="正文文本 Char"/>
    <w:basedOn w:val="38"/>
    <w:link w:val="15"/>
    <w:qFormat/>
    <w:uiPriority w:val="0"/>
    <w:rPr>
      <w:kern w:val="2"/>
      <w:sz w:val="21"/>
      <w:szCs w:val="24"/>
    </w:rPr>
  </w:style>
  <w:style w:type="character" w:customStyle="1" w:styleId="89">
    <w:name w:val="正文文本缩进 Char"/>
    <w:basedOn w:val="38"/>
    <w:link w:val="16"/>
    <w:qFormat/>
    <w:uiPriority w:val="0"/>
    <w:rPr>
      <w:spacing w:val="-4"/>
      <w:kern w:val="2"/>
      <w:sz w:val="21"/>
      <w:szCs w:val="24"/>
    </w:rPr>
  </w:style>
  <w:style w:type="paragraph" w:customStyle="1" w:styleId="90">
    <w:name w:val="2 Char"/>
    <w:basedOn w:val="1"/>
    <w:qFormat/>
    <w:uiPriority w:val="0"/>
    <w:rPr>
      <w:rFonts w:ascii="宋体" w:hAnsi="宋体"/>
      <w:sz w:val="24"/>
      <w:szCs w:val="20"/>
    </w:rPr>
  </w:style>
  <w:style w:type="paragraph" w:customStyle="1" w:styleId="91">
    <w:name w:val="文档的标题"/>
    <w:basedOn w:val="1"/>
    <w:qFormat/>
    <w:uiPriority w:val="0"/>
    <w:pPr>
      <w:jc w:val="center"/>
    </w:pPr>
    <w:rPr>
      <w:rFonts w:eastAsia="黑体"/>
      <w:b/>
      <w:sz w:val="36"/>
      <w:szCs w:val="20"/>
    </w:rPr>
  </w:style>
  <w:style w:type="paragraph" w:customStyle="1" w:styleId="92">
    <w:name w:val="p20"/>
    <w:basedOn w:val="1"/>
    <w:qFormat/>
    <w:uiPriority w:val="0"/>
    <w:pPr>
      <w:widowControl/>
      <w:ind w:left="28"/>
      <w:jc w:val="left"/>
    </w:pPr>
    <w:rPr>
      <w:rFonts w:ascii="PMingLiU" w:hAnsi="PMingLiU" w:eastAsia="PMingLiU" w:cs="宋体"/>
      <w:kern w:val="0"/>
      <w:sz w:val="41"/>
      <w:szCs w:val="41"/>
    </w:rPr>
  </w:style>
  <w:style w:type="paragraph" w:customStyle="1" w:styleId="93">
    <w:name w:val="p16"/>
    <w:basedOn w:val="1"/>
    <w:qFormat/>
    <w:uiPriority w:val="0"/>
    <w:pPr>
      <w:widowControl/>
      <w:ind w:left="713"/>
      <w:jc w:val="left"/>
    </w:pPr>
    <w:rPr>
      <w:rFonts w:ascii="方正仿宋_GBK" w:hAnsi="方正仿宋_GBK" w:cs="宋体"/>
      <w:kern w:val="0"/>
      <w:sz w:val="28"/>
      <w:szCs w:val="28"/>
    </w:rPr>
  </w:style>
  <w:style w:type="paragraph" w:customStyle="1" w:styleId="94">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5">
    <w:name w:val="p17"/>
    <w:basedOn w:val="1"/>
    <w:qFormat/>
    <w:uiPriority w:val="0"/>
    <w:pPr>
      <w:widowControl/>
      <w:jc w:val="left"/>
    </w:pPr>
    <w:rPr>
      <w:rFonts w:ascii="宋体" w:hAnsi="宋体" w:cs="宋体"/>
      <w:kern w:val="0"/>
      <w:sz w:val="18"/>
      <w:szCs w:val="18"/>
    </w:rPr>
  </w:style>
  <w:style w:type="paragraph" w:customStyle="1" w:styleId="96">
    <w:name w:val="Char"/>
    <w:basedOn w:val="1"/>
    <w:qFormat/>
    <w:uiPriority w:val="0"/>
  </w:style>
  <w:style w:type="paragraph" w:customStyle="1" w:styleId="97">
    <w:name w:val="p19"/>
    <w:basedOn w:val="1"/>
    <w:qFormat/>
    <w:uiPriority w:val="0"/>
    <w:pPr>
      <w:widowControl/>
      <w:ind w:left="257"/>
      <w:jc w:val="left"/>
    </w:pPr>
    <w:rPr>
      <w:rFonts w:ascii="方正仿宋_GBK" w:hAnsi="方正仿宋_GBK" w:cs="宋体"/>
      <w:kern w:val="0"/>
      <w:sz w:val="30"/>
      <w:szCs w:val="30"/>
    </w:r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9">
    <w:name w:val="p15"/>
    <w:basedOn w:val="1"/>
    <w:qFormat/>
    <w:uiPriority w:val="0"/>
    <w:pPr>
      <w:widowControl/>
      <w:spacing w:before="177"/>
      <w:ind w:left="152"/>
      <w:jc w:val="left"/>
    </w:pPr>
    <w:rPr>
      <w:rFonts w:ascii="宋体" w:hAnsi="宋体" w:cs="宋体"/>
      <w:b/>
      <w:bCs/>
      <w:kern w:val="0"/>
      <w:sz w:val="30"/>
      <w:szCs w:val="30"/>
    </w:rPr>
  </w:style>
  <w:style w:type="paragraph" w:styleId="100">
    <w:name w:val="List Paragraph"/>
    <w:basedOn w:val="1"/>
    <w:qFormat/>
    <w:uiPriority w:val="99"/>
    <w:pPr>
      <w:ind w:firstLine="420" w:firstLineChars="200"/>
    </w:pPr>
  </w:style>
  <w:style w:type="paragraph" w:customStyle="1" w:styleId="10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paragraph" w:customStyle="1" w:styleId="103">
    <w:name w:val="Heading 1"/>
    <w:basedOn w:val="1"/>
    <w:qFormat/>
    <w:uiPriority w:val="1"/>
    <w:pPr>
      <w:outlineLvl w:val="1"/>
    </w:pPr>
    <w:rPr>
      <w:rFonts w:ascii="宋体" w:hAnsi="宋体"/>
      <w:b/>
      <w:bCs/>
      <w:sz w:val="36"/>
      <w:szCs w:val="36"/>
    </w:rPr>
  </w:style>
  <w:style w:type="paragraph" w:customStyle="1" w:styleId="104">
    <w:name w:val="Heading 2"/>
    <w:basedOn w:val="1"/>
    <w:qFormat/>
    <w:uiPriority w:val="1"/>
    <w:pPr>
      <w:spacing w:before="154"/>
      <w:ind w:left="148"/>
      <w:outlineLvl w:val="2"/>
    </w:pPr>
    <w:rPr>
      <w:rFonts w:ascii="宋体" w:hAnsi="宋体"/>
      <w:b/>
      <w:bCs/>
      <w:sz w:val="24"/>
    </w:rPr>
  </w:style>
  <w:style w:type="paragraph" w:customStyle="1" w:styleId="105">
    <w:name w:val="Table Paragraph"/>
    <w:basedOn w:val="1"/>
    <w:qFormat/>
    <w:uiPriority w:val="1"/>
  </w:style>
  <w:style w:type="character" w:customStyle="1" w:styleId="106">
    <w:name w:val="正文文本 (2) + 10.5 pt"/>
    <w:basedOn w:val="107"/>
    <w:qFormat/>
    <w:uiPriority w:val="0"/>
    <w:rPr>
      <w:color w:val="000000"/>
      <w:spacing w:val="0"/>
      <w:w w:val="100"/>
      <w:position w:val="0"/>
      <w:sz w:val="21"/>
      <w:szCs w:val="21"/>
      <w:lang w:val="zh-TW" w:eastAsia="zh-TW" w:bidi="zh-TW"/>
    </w:rPr>
  </w:style>
  <w:style w:type="character" w:customStyle="1" w:styleId="107">
    <w:name w:val="正文文本 (2)_"/>
    <w:basedOn w:val="38"/>
    <w:link w:val="108"/>
    <w:qFormat/>
    <w:uiPriority w:val="0"/>
    <w:rPr>
      <w:rFonts w:ascii="MingLiU" w:hAnsi="MingLiU" w:eastAsia="MingLiU" w:cs="MingLiU"/>
      <w:sz w:val="22"/>
      <w:szCs w:val="22"/>
    </w:rPr>
  </w:style>
  <w:style w:type="paragraph" w:customStyle="1" w:styleId="108">
    <w:name w:val="正文文本 (2)1"/>
    <w:basedOn w:val="1"/>
    <w:link w:val="107"/>
    <w:qFormat/>
    <w:uiPriority w:val="0"/>
    <w:pPr>
      <w:shd w:val="clear" w:color="auto" w:fill="FFFFFF"/>
      <w:spacing w:before="360" w:after="240" w:line="0" w:lineRule="atLeast"/>
    </w:pPr>
    <w:rPr>
      <w:rFonts w:ascii="MingLiU" w:hAnsi="MingLiU" w:eastAsia="MingLiU" w:cs="MingLiU"/>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34778-1A5D-482F-BE96-FC47C4A997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9741</Words>
  <Characters>10619</Characters>
  <Lines>31</Lines>
  <Paragraphs>27</Paragraphs>
  <TotalTime>0</TotalTime>
  <ScaleCrop>false</ScaleCrop>
  <LinksUpToDate>false</LinksUpToDate>
  <CharactersWithSpaces>11789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Administrator</cp:lastModifiedBy>
  <cp:lastPrinted>2020-04-20T02:52:00Z</cp:lastPrinted>
  <dcterms:modified xsi:type="dcterms:W3CDTF">2023-06-08T03:55:28Z</dcterms:modified>
  <dc:title>第二章  投标人须知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394F1E763C1D4BC9A1277D34B0BE9BA1</vt:lpwstr>
  </property>
</Properties>
</file>