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u w:val="none"/>
          <w:lang w:val="en-US" w:eastAsia="zh-CN"/>
        </w:rPr>
        <w:t>HGJY-G2023076</w:t>
      </w:r>
      <w:bookmarkStart w:id="0" w:name="_GoBack"/>
      <w:bookmarkEnd w:id="0"/>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月炼钢厂烧结型精炼合成渣采购项目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货物名称：烧结型精炼合成渣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量：约2000吨，具体数量以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加入钢水，烟尘在可控范围，烟尘较大，影响生产，扣款300元/吨。</w:t>
      </w:r>
      <w:r>
        <w:rPr>
          <w:rFonts w:hint="eastAsia" w:ascii="仿宋" w:hAnsi="仿宋" w:eastAsia="仿宋"/>
          <w:sz w:val="28"/>
          <w:szCs w:val="28"/>
        </w:rPr>
        <w:t>该物料包括大电炉用和小电炉用两种,除包装不同外，其他如成分等要求相同，大电炉用采用内衬防潮吨袋包装，每袋净重1000kg，小电炉用采用内衬防潮吨袋包装，每袋净重1000Kg，内用小袋防潮包装，小袋净重10kg±1kg。</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为华菱湘钢、涟钢类烧结型精炼渣合格供方（提供1份近两年的合同原件或仅限价格、金额覆盖的原件扫描件）,且注册资本必须不少于200万元，成立时间不少于1年。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50000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CD77240"/>
    <w:rsid w:val="0E8C17CF"/>
    <w:rsid w:val="0F820DD5"/>
    <w:rsid w:val="160F65A2"/>
    <w:rsid w:val="1AF83F63"/>
    <w:rsid w:val="20807F33"/>
    <w:rsid w:val="24BD2B58"/>
    <w:rsid w:val="29431FFB"/>
    <w:rsid w:val="299200F6"/>
    <w:rsid w:val="2D1872C7"/>
    <w:rsid w:val="33A45C3E"/>
    <w:rsid w:val="43AE39F1"/>
    <w:rsid w:val="43DF7495"/>
    <w:rsid w:val="45FE2F18"/>
    <w:rsid w:val="4E7B1E1B"/>
    <w:rsid w:val="518A4F40"/>
    <w:rsid w:val="52A11D7B"/>
    <w:rsid w:val="53CF0680"/>
    <w:rsid w:val="573B2B1A"/>
    <w:rsid w:val="5F4E7044"/>
    <w:rsid w:val="61BE6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2D88-692C-448A-993C-77C6BA8DC15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986</Words>
  <Characters>1165</Characters>
  <Lines>12</Lines>
  <Paragraphs>3</Paragraphs>
  <TotalTime>0</TotalTime>
  <ScaleCrop>false</ScaleCrop>
  <LinksUpToDate>false</LinksUpToDate>
  <CharactersWithSpaces>1656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2023-06-19T09:30:26Z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5A7D9A1689614694B01AF163E8A985A5_12</vt:lpwstr>
  </property>
</Properties>
</file>