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HGJY-G2023110</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月炼钢厂</w:t>
      </w:r>
      <w:r>
        <w:rPr>
          <w:rFonts w:hint="eastAsia" w:ascii="仿宋" w:hAnsi="仿宋" w:eastAsia="仿宋"/>
          <w:sz w:val="28"/>
          <w:szCs w:val="28"/>
          <w:lang w:eastAsia="zh-CN"/>
        </w:rPr>
        <w:t>预熔</w:t>
      </w:r>
      <w:r>
        <w:rPr>
          <w:rFonts w:hint="eastAsia" w:ascii="仿宋" w:hAnsi="仿宋" w:eastAsia="仿宋" w:cs="仿宋"/>
          <w:color w:val="000000"/>
          <w:sz w:val="28"/>
          <w:szCs w:val="28"/>
          <w:vertAlign w:val="baseline"/>
          <w:lang w:eastAsia="zh-CN"/>
        </w:rPr>
        <w:t>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120</w:t>
      </w:r>
      <w:r>
        <w:rPr>
          <w:rFonts w:hint="eastAsia" w:ascii="仿宋" w:hAnsi="仿宋" w:eastAsia="仿宋"/>
          <w:sz w:val="28"/>
          <w:szCs w:val="28"/>
        </w:rPr>
        <w:t>0吨，具体数量以炼钢厂计划为准,均衡到货。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需方精炼渣合格供方（已被需方列入黑名单或暂停供货资质的供方不可参标）。                                                                                                                                                                                                                                                                  2.2  为华菱湘钢、涟钢精炼渣合格供方（提供1份近两年的合同原件或仅限价格、金额覆盖的原件扫描件）,且注册资本必须不少于200万元，成立时间不少于1年。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40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7</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19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9:00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60F65A2"/>
    <w:rsid w:val="1AF83F63"/>
    <w:rsid w:val="20807F33"/>
    <w:rsid w:val="25AF26AE"/>
    <w:rsid w:val="299200F6"/>
    <w:rsid w:val="2D992026"/>
    <w:rsid w:val="30605CB6"/>
    <w:rsid w:val="3A9D4A0F"/>
    <w:rsid w:val="43AE39F1"/>
    <w:rsid w:val="45FE2F18"/>
    <w:rsid w:val="4E7B1E1B"/>
    <w:rsid w:val="518A4F40"/>
    <w:rsid w:val="52A11D7B"/>
    <w:rsid w:val="53CF0680"/>
    <w:rsid w:val="5F4E7044"/>
    <w:rsid w:val="61BE6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881</Words>
  <Characters>1029</Characters>
  <Lines>11</Lines>
  <Paragraphs>3</Paragraphs>
  <TotalTime>3</TotalTime>
  <ScaleCrop>false</ScaleCrop>
  <LinksUpToDate>false</LinksUpToDate>
  <CharactersWithSpaces>1522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2023-07-14T01:07:25Z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0A78CE1D30A04EEB85C655734F318056_12</vt:lpwstr>
  </property>
</Properties>
</file>