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526778066"/>
      <w:bookmarkStart w:id="1" w:name="_Toc11388"/>
      <w:bookmarkStart w:id="2" w:name="_Toc526861349"/>
      <w:bookmarkStart w:id="3" w:name="_Toc526246862"/>
      <w:r>
        <w:rPr>
          <w:rFonts w:hint="eastAsia" w:ascii="仿宋" w:hAnsi="仿宋" w:eastAsia="仿宋" w:cs="仿宋"/>
          <w:szCs w:val="32"/>
        </w:rPr>
        <w:t>招标公告</w:t>
      </w:r>
      <w:bookmarkEnd w:id="0"/>
      <w:bookmarkEnd w:id="1"/>
      <w:bookmarkEnd w:id="2"/>
      <w:bookmarkEnd w:id="3"/>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项目编号：HGJY-G2023130</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8</w:t>
      </w:r>
      <w:r>
        <w:rPr>
          <w:rFonts w:hint="eastAsia" w:ascii="仿宋" w:hAnsi="仿宋" w:eastAsia="仿宋" w:cs="仿宋"/>
          <w:sz w:val="28"/>
          <w:szCs w:val="28"/>
        </w:rPr>
        <w:t>月钢材类物资采购项目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5"/>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13</w:t>
      </w:r>
      <w:r>
        <w:rPr>
          <w:rFonts w:hint="eastAsia" w:ascii="仿宋" w:hAnsi="仿宋" w:eastAsia="仿宋" w:cs="仿宋"/>
          <w:sz w:val="28"/>
          <w:szCs w:val="28"/>
        </w:rPr>
        <w:t>个标包</w:t>
      </w:r>
      <w:r>
        <w:rPr>
          <w:rFonts w:hint="eastAsia" w:ascii="仿宋" w:hAnsi="仿宋" w:eastAsia="仿宋" w:cs="仿宋"/>
          <w:sz w:val="28"/>
          <w:szCs w:val="28"/>
          <w:lang w:eastAsia="zh-CN"/>
        </w:rPr>
        <w:t>、项</w:t>
      </w:r>
      <w:r>
        <w:rPr>
          <w:rFonts w:hint="eastAsia" w:ascii="仿宋" w:hAnsi="仿宋" w:eastAsia="仿宋" w:cs="仿宋"/>
          <w:sz w:val="28"/>
          <w:szCs w:val="28"/>
        </w:rPr>
        <w:t>，具体见采购清单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能力要求：具有合同履行能力，保障供货渠道正规。</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5"/>
        <w:numPr>
          <w:ilvl w:val="2"/>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11</w:t>
      </w:r>
      <w:r>
        <w:rPr>
          <w:rFonts w:hint="eastAsia" w:ascii="仿宋" w:hAnsi="仿宋" w:eastAsia="仿宋" w:cs="仿宋"/>
          <w:sz w:val="28"/>
          <w:szCs w:val="28"/>
          <w:u w:val="single"/>
        </w:rPr>
        <w:t>日下午14:30</w:t>
      </w:r>
      <w:r>
        <w:rPr>
          <w:rFonts w:hint="eastAsia" w:ascii="仿宋" w:hAnsi="仿宋" w:eastAsia="仿宋" w:cs="仿宋"/>
          <w:sz w:val="28"/>
          <w:szCs w:val="28"/>
        </w:rPr>
        <w:t>(北京时间)</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abstractNum w:abstractNumId="1">
    <w:nsid w:val="768C1899"/>
    <w:multiLevelType w:val="multilevel"/>
    <w:tmpl w:val="768C1899"/>
    <w:lvl w:ilvl="0" w:tentative="0">
      <w:start w:val="1"/>
      <w:numFmt w:val="japaneseCounting"/>
      <w:lvlText w:val="第%1章"/>
      <w:lvlJc w:val="left"/>
      <w:pPr>
        <w:ind w:left="1404" w:hanging="1404"/>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5E3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2023-08-09T06:20:51Z</dcterms:created>
  <dc:creator>Administrator</dc:creator>
  <cp:lastModifiedBy>肖圣朋</cp:lastModifiedBy>
  <dcterms:modified xsi:type="dcterms:W3CDTF">2023-08-09T06:21:08Z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57C24FA675F246B8A991AA8E3BAF76A2</vt:lpwstr>
  </property>
</Properties>
</file>