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rPr>
        <w:t>招  标  公  告</w:t>
      </w:r>
    </w:p>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HGJY-G2023152</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10-12</w:t>
      </w:r>
      <w:r>
        <w:rPr>
          <w:rFonts w:hint="eastAsia" w:ascii="仿宋" w:hAnsi="仿宋" w:eastAsia="仿宋"/>
          <w:sz w:val="28"/>
          <w:szCs w:val="28"/>
        </w:rPr>
        <w:t>月炼钢厂</w:t>
      </w:r>
      <w:r>
        <w:rPr>
          <w:rFonts w:hint="eastAsia" w:ascii="仿宋" w:hAnsi="仿宋" w:eastAsia="仿宋"/>
          <w:sz w:val="28"/>
          <w:szCs w:val="28"/>
          <w:lang w:eastAsia="zh-CN"/>
        </w:rPr>
        <w:t>预熔</w:t>
      </w:r>
      <w:r>
        <w:rPr>
          <w:rFonts w:hint="eastAsia" w:ascii="仿宋" w:hAnsi="仿宋" w:eastAsia="仿宋" w:cs="仿宋"/>
          <w:color w:val="000000"/>
          <w:sz w:val="28"/>
          <w:szCs w:val="28"/>
          <w:vertAlign w:val="baseline"/>
          <w:lang w:eastAsia="zh-CN"/>
        </w:rPr>
        <w:t>型高铝精炼渣</w:t>
      </w:r>
      <w:r>
        <w:rPr>
          <w:rFonts w:hint="eastAsia" w:ascii="仿宋" w:hAnsi="仿宋" w:eastAsia="仿宋"/>
          <w:sz w:val="28"/>
          <w:szCs w:val="28"/>
        </w:rPr>
        <w:t>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cs="仿宋"/>
          <w:color w:val="000000"/>
          <w:sz w:val="28"/>
          <w:szCs w:val="28"/>
          <w:vertAlign w:val="baseline"/>
          <w:lang w:eastAsia="zh-CN"/>
        </w:rPr>
        <w:t>烧结型高铝精炼渣</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60</w:t>
      </w:r>
      <w:r>
        <w:rPr>
          <w:rFonts w:hint="eastAsia" w:ascii="仿宋" w:hAnsi="仿宋" w:eastAsia="仿宋"/>
          <w:sz w:val="28"/>
          <w:szCs w:val="28"/>
        </w:rPr>
        <w:t>0吨，具体数量以炼钢厂计划为准,均衡到货。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10-12</w:t>
      </w:r>
      <w:r>
        <w:rPr>
          <w:rFonts w:hint="eastAsia" w:ascii="仿宋" w:hAnsi="仿宋" w:eastAsia="仿宋"/>
          <w:sz w:val="28"/>
          <w:szCs w:val="28"/>
        </w:rPr>
        <w:t xml:space="preserve">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pPr>
        <w:pStyle w:val="8"/>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需方精炼渣合格供方（已被需方列入黑名单或暂停供货资质的供方不可参标）。                                                                                                                                                                                                                                                                  2.2  为华菱湘钢、涟钢精炼渣合格供方（提供1份近两年的合同原件或仅限价格、金额覆盖的原件扫描件）,且注册资本必须不少于200万元，成立时间不少于1年。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30</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 xml:space="preserve"> 9</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15</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9:30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26D40B5"/>
    <w:rsid w:val="0CD77240"/>
    <w:rsid w:val="0E8C17CF"/>
    <w:rsid w:val="0F820DD5"/>
    <w:rsid w:val="160F65A2"/>
    <w:rsid w:val="1AF83F63"/>
    <w:rsid w:val="20807F33"/>
    <w:rsid w:val="299200F6"/>
    <w:rsid w:val="2D992026"/>
    <w:rsid w:val="2E911D49"/>
    <w:rsid w:val="30605CB6"/>
    <w:rsid w:val="3A9D4A0F"/>
    <w:rsid w:val="43AE39F1"/>
    <w:rsid w:val="45FE2F18"/>
    <w:rsid w:val="4E7B1E1B"/>
    <w:rsid w:val="518A4F40"/>
    <w:rsid w:val="52A11D7B"/>
    <w:rsid w:val="53CF0680"/>
    <w:rsid w:val="5F4E7044"/>
    <w:rsid w:val="61BE6F47"/>
    <w:rsid w:val="701500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B461-681A-417B-89D9-06D52AD985C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880</Words>
  <Characters>1025</Characters>
  <Lines>11</Lines>
  <Paragraphs>3</Paragraphs>
  <TotalTime>5</TotalTime>
  <ScaleCrop>false</ScaleCrop>
  <LinksUpToDate>false</LinksUpToDate>
  <CharactersWithSpaces>1518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2023-09-11T02:00:55Z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629FADA1A40E4ADC8F7F603510CFEA41</vt:lpwstr>
  </property>
</Properties>
</file>